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A7AD7F" w14:textId="37725545" w:rsidR="009609A9" w:rsidRDefault="00160CAA" w:rsidP="00CC59DA">
      <w:pPr>
        <w:spacing w:line="240" w:lineRule="auto"/>
        <w:ind w:left="142" w:right="-46" w:firstLine="0"/>
        <w:jc w:val="center"/>
        <w:rPr>
          <w:b/>
          <w:bCs/>
          <w:sz w:val="28"/>
          <w:szCs w:val="28"/>
        </w:rPr>
      </w:pPr>
      <w:r>
        <w:rPr>
          <w:b/>
          <w:bCs/>
          <w:sz w:val="28"/>
          <w:szCs w:val="28"/>
        </w:rPr>
        <w:t>Single Public Service Pension Scheme</w:t>
      </w:r>
    </w:p>
    <w:p w14:paraId="714F9B0F" w14:textId="1FD45B7A" w:rsidR="00CA20F0" w:rsidRDefault="00F57E27" w:rsidP="00CA20F0">
      <w:pPr>
        <w:spacing w:line="240" w:lineRule="auto"/>
        <w:ind w:left="142" w:right="-46" w:firstLine="0"/>
        <w:jc w:val="center"/>
        <w:rPr>
          <w:b/>
          <w:bCs/>
          <w:sz w:val="28"/>
          <w:szCs w:val="28"/>
        </w:rPr>
      </w:pPr>
      <w:r w:rsidRPr="00CA20F0">
        <w:rPr>
          <w:b/>
          <w:bCs/>
          <w:sz w:val="28"/>
          <w:szCs w:val="28"/>
        </w:rPr>
        <w:t>Internal Disputes Resolution Procedure</w:t>
      </w:r>
      <w:r w:rsidR="00160CAA">
        <w:rPr>
          <w:b/>
          <w:bCs/>
          <w:sz w:val="28"/>
          <w:szCs w:val="28"/>
        </w:rPr>
        <w:t xml:space="preserve"> (temporary</w:t>
      </w:r>
      <w:r w:rsidR="00D4090B">
        <w:rPr>
          <w:b/>
          <w:bCs/>
          <w:sz w:val="28"/>
          <w:szCs w:val="28"/>
        </w:rPr>
        <w:t xml:space="preserve"> pending formal establishment of procedure</w:t>
      </w:r>
      <w:r w:rsidR="00160CAA">
        <w:rPr>
          <w:b/>
          <w:bCs/>
          <w:sz w:val="28"/>
          <w:szCs w:val="28"/>
        </w:rPr>
        <w:t>)</w:t>
      </w:r>
    </w:p>
    <w:p w14:paraId="4DFC6743" w14:textId="77777777" w:rsidR="005C62E5" w:rsidRDefault="005C62E5" w:rsidP="00B10581">
      <w:pPr>
        <w:ind w:left="142" w:right="-46" w:firstLine="0"/>
      </w:pPr>
    </w:p>
    <w:p w14:paraId="53CBADB2" w14:textId="1C0682FB" w:rsidR="005A1FF3" w:rsidRDefault="005A1FF3" w:rsidP="00B10581">
      <w:pPr>
        <w:spacing w:line="240" w:lineRule="auto"/>
        <w:ind w:left="142" w:right="-46" w:firstLine="0"/>
      </w:pPr>
      <w:r w:rsidRPr="005C62E5">
        <w:rPr>
          <w:b/>
          <w:bCs/>
        </w:rPr>
        <w:t>Definitions</w:t>
      </w:r>
      <w:r>
        <w:t>:</w:t>
      </w:r>
    </w:p>
    <w:p w14:paraId="5D8E9A95" w14:textId="0545799E" w:rsidR="005A1FF3" w:rsidRDefault="005A1FF3" w:rsidP="00B10581">
      <w:pPr>
        <w:spacing w:line="240" w:lineRule="auto"/>
        <w:ind w:left="142" w:right="-46" w:firstLine="0"/>
      </w:pPr>
      <w:r w:rsidRPr="005C62E5">
        <w:rPr>
          <w:b/>
          <w:bCs/>
          <w:i/>
          <w:iCs/>
        </w:rPr>
        <w:t>Relevant Body/Department</w:t>
      </w:r>
      <w:r>
        <w:t xml:space="preserve"> means the Body/Department that was involved in the pension decision being complained of</w:t>
      </w:r>
    </w:p>
    <w:p w14:paraId="340F7A62" w14:textId="70BD414C" w:rsidR="008221BA" w:rsidRPr="008221BA" w:rsidRDefault="008221BA" w:rsidP="00B10581">
      <w:pPr>
        <w:spacing w:line="240" w:lineRule="auto"/>
        <w:ind w:left="142" w:right="-46" w:firstLine="0"/>
      </w:pPr>
      <w:r>
        <w:rPr>
          <w:b/>
          <w:bCs/>
          <w:i/>
          <w:iCs/>
        </w:rPr>
        <w:t xml:space="preserve">Parent Body means </w:t>
      </w:r>
      <w:r>
        <w:t xml:space="preserve">the Department </w:t>
      </w:r>
      <w:r w:rsidR="005A0A8D">
        <w:t>Public Expenditure, NDP, Delivery &amp; Reform</w:t>
      </w:r>
    </w:p>
    <w:p w14:paraId="0E4C9ADB" w14:textId="7431EE07" w:rsidR="00595291" w:rsidRDefault="00D9618C" w:rsidP="00B10581">
      <w:pPr>
        <w:spacing w:line="240" w:lineRule="auto"/>
        <w:ind w:left="142" w:right="-46" w:firstLine="0"/>
      </w:pPr>
      <w:r w:rsidRPr="005C62E5">
        <w:rPr>
          <w:b/>
          <w:bCs/>
          <w:i/>
          <w:iCs/>
        </w:rPr>
        <w:t>Appellant</w:t>
      </w:r>
      <w:r w:rsidR="00595291">
        <w:t xml:space="preserve"> – person by whom, or on whose behalf, a complaint is made</w:t>
      </w:r>
    </w:p>
    <w:p w14:paraId="30971B6F" w14:textId="723636FE" w:rsidR="00595291" w:rsidRDefault="00595291" w:rsidP="00B10581">
      <w:pPr>
        <w:ind w:left="142" w:right="-46" w:firstLine="0"/>
      </w:pPr>
      <w:r w:rsidRPr="005C62E5">
        <w:rPr>
          <w:b/>
          <w:bCs/>
          <w:i/>
          <w:iCs/>
        </w:rPr>
        <w:t>LHR</w:t>
      </w:r>
      <w:r>
        <w:t xml:space="preserve"> – Local HR in relevant Body/Department responsible for making the initial decision being complained of</w:t>
      </w:r>
    </w:p>
    <w:p w14:paraId="4D1689F1" w14:textId="77777777" w:rsidR="005C62E5" w:rsidRDefault="005C62E5" w:rsidP="00B10581">
      <w:pPr>
        <w:ind w:left="142" w:right="-46" w:firstLine="0"/>
        <w:rPr>
          <w:b/>
          <w:bCs/>
        </w:rPr>
      </w:pPr>
    </w:p>
    <w:p w14:paraId="2CC72140" w14:textId="0E46CC41" w:rsidR="00F57E27" w:rsidRPr="00F57E27" w:rsidRDefault="00F57E27" w:rsidP="00B10581">
      <w:pPr>
        <w:ind w:left="142" w:right="-46" w:firstLine="0"/>
        <w:rPr>
          <w:b/>
          <w:bCs/>
        </w:rPr>
      </w:pPr>
      <w:r w:rsidRPr="00F57E27">
        <w:rPr>
          <w:b/>
          <w:bCs/>
        </w:rPr>
        <w:t>To whom these procedures apply:</w:t>
      </w:r>
    </w:p>
    <w:p w14:paraId="6BF6186B" w14:textId="3D9CD564" w:rsidR="00F57E27" w:rsidRDefault="005A0A8D" w:rsidP="008D624C">
      <w:pPr>
        <w:ind w:left="142" w:right="-46" w:firstLine="0"/>
        <w:jc w:val="left"/>
      </w:pPr>
      <w:r>
        <w:t xml:space="preserve">Members of </w:t>
      </w:r>
      <w:r w:rsidR="00F57E27">
        <w:t>the Single Public Service Pension Scheme on 1 January 2013</w:t>
      </w:r>
    </w:p>
    <w:p w14:paraId="224EEF87" w14:textId="77777777" w:rsidR="005C62E5" w:rsidRDefault="005C62E5" w:rsidP="00B10581">
      <w:pPr>
        <w:ind w:left="142" w:right="-46" w:firstLine="0"/>
      </w:pPr>
    </w:p>
    <w:p w14:paraId="1712933F" w14:textId="60BB10E7" w:rsidR="005A1FF3" w:rsidRDefault="005A1FF3" w:rsidP="008D624C">
      <w:pPr>
        <w:ind w:left="142" w:right="-46" w:firstLine="0"/>
        <w:jc w:val="left"/>
      </w:pPr>
      <w:r>
        <w:t>An appeal under these IDR procedures may also be made or continued on behalf of a beneficiary by a representative nominated by the member, e.g. Trade Union representative or solicitor. An appeal may be made or continued on a beneficiary’s behalf when the member dies, or is a minor, or is incapable of acting for themselves.</w:t>
      </w:r>
    </w:p>
    <w:p w14:paraId="628149D9" w14:textId="77777777" w:rsidR="005C62E5" w:rsidRDefault="005C62E5" w:rsidP="00B10581">
      <w:pPr>
        <w:ind w:left="142" w:right="-46" w:firstLine="0"/>
      </w:pPr>
    </w:p>
    <w:p w14:paraId="01E55F60" w14:textId="753EE44A" w:rsidR="00F57E27" w:rsidRPr="00F57E27" w:rsidRDefault="00F57E27" w:rsidP="00B10581">
      <w:pPr>
        <w:ind w:left="142" w:right="-46" w:firstLine="0"/>
        <w:rPr>
          <w:b/>
          <w:bCs/>
        </w:rPr>
      </w:pPr>
      <w:r w:rsidRPr="00F57E27">
        <w:rPr>
          <w:b/>
          <w:bCs/>
        </w:rPr>
        <w:t>What type of claims/disputes are eligible for Internal Dispute Resolution (IDR)?</w:t>
      </w:r>
    </w:p>
    <w:p w14:paraId="610ABA7A" w14:textId="0ED4CA5B" w:rsidR="00F57E27" w:rsidRDefault="00F57E27" w:rsidP="001D05E3">
      <w:pPr>
        <w:pStyle w:val="ListParagraph"/>
        <w:numPr>
          <w:ilvl w:val="0"/>
          <w:numId w:val="10"/>
        </w:numPr>
        <w:ind w:right="-46"/>
      </w:pPr>
      <w:r>
        <w:t xml:space="preserve">alleged financial loss occasioned to an appellant by an act of maladministration done by or on behalf of the pension provider, or </w:t>
      </w:r>
    </w:p>
    <w:p w14:paraId="1BD340A4" w14:textId="211AD42D" w:rsidR="00F57E27" w:rsidRDefault="00F57E27" w:rsidP="001D05E3">
      <w:pPr>
        <w:pStyle w:val="ListParagraph"/>
        <w:numPr>
          <w:ilvl w:val="0"/>
          <w:numId w:val="10"/>
        </w:numPr>
        <w:ind w:right="-46"/>
      </w:pPr>
      <w:r>
        <w:t>any dispute of fact or law that arises in relation to conduct by or on behalf of the pension provider.</w:t>
      </w:r>
    </w:p>
    <w:p w14:paraId="26F80D1E" w14:textId="3EB3AC39" w:rsidR="005A1FF3" w:rsidRDefault="005A1FF3" w:rsidP="001D05E3">
      <w:pPr>
        <w:pStyle w:val="ListParagraph"/>
        <w:numPr>
          <w:ilvl w:val="0"/>
          <w:numId w:val="10"/>
        </w:numPr>
        <w:ind w:right="-46"/>
      </w:pPr>
      <w:r>
        <w:t>They do not apply in relation to other HR/contract/retirement-related decisions. For example, a decision by an employer not to grant ill-health retirement is a HR decision rather than a pension decision. If ill-health retirement has been granted and then a dispute arose regarding the calculation or payment of an ill-health retirement pension awarded, an appeal could be pursued under these procedures.</w:t>
      </w:r>
    </w:p>
    <w:p w14:paraId="5CAF3A3A" w14:textId="77777777" w:rsidR="005C62E5" w:rsidRDefault="005C62E5" w:rsidP="00B10581">
      <w:pPr>
        <w:ind w:left="0" w:right="-46" w:firstLine="0"/>
        <w:jc w:val="left"/>
        <w:rPr>
          <w:b/>
          <w:bCs/>
        </w:rPr>
      </w:pPr>
    </w:p>
    <w:p w14:paraId="0FC572B9" w14:textId="77777777" w:rsidR="005C62E5" w:rsidRDefault="005C62E5" w:rsidP="00B10581">
      <w:pPr>
        <w:ind w:left="0" w:right="-46" w:firstLine="0"/>
        <w:jc w:val="left"/>
        <w:rPr>
          <w:b/>
          <w:bCs/>
        </w:rPr>
      </w:pPr>
    </w:p>
    <w:p w14:paraId="2E56A604" w14:textId="77777777" w:rsidR="005C62E5" w:rsidRDefault="005C62E5" w:rsidP="00B10581">
      <w:pPr>
        <w:ind w:left="0" w:right="-46" w:firstLine="0"/>
        <w:jc w:val="left"/>
        <w:rPr>
          <w:b/>
          <w:bCs/>
        </w:rPr>
      </w:pPr>
    </w:p>
    <w:p w14:paraId="1EA0FA17" w14:textId="77777777" w:rsidR="005C62E5" w:rsidRDefault="005C62E5" w:rsidP="00B10581">
      <w:pPr>
        <w:ind w:left="0" w:right="-46" w:firstLine="0"/>
        <w:jc w:val="left"/>
        <w:rPr>
          <w:b/>
          <w:bCs/>
        </w:rPr>
      </w:pPr>
    </w:p>
    <w:p w14:paraId="426FC1AD" w14:textId="77777777" w:rsidR="005C62E5" w:rsidRDefault="005C62E5" w:rsidP="00B10581">
      <w:pPr>
        <w:ind w:left="0" w:right="-46" w:firstLine="0"/>
        <w:jc w:val="left"/>
        <w:rPr>
          <w:b/>
          <w:bCs/>
        </w:rPr>
      </w:pPr>
    </w:p>
    <w:p w14:paraId="662FADD6" w14:textId="77777777" w:rsidR="005C62E5" w:rsidRDefault="005C62E5" w:rsidP="00B10581">
      <w:pPr>
        <w:ind w:left="0" w:right="-46" w:firstLine="0"/>
        <w:jc w:val="left"/>
        <w:rPr>
          <w:b/>
          <w:bCs/>
        </w:rPr>
      </w:pPr>
    </w:p>
    <w:p w14:paraId="2AD10803" w14:textId="77777777" w:rsidR="005C62E5" w:rsidRDefault="005C62E5" w:rsidP="00B10581">
      <w:pPr>
        <w:ind w:left="0" w:right="-46" w:firstLine="0"/>
        <w:jc w:val="left"/>
        <w:rPr>
          <w:b/>
          <w:bCs/>
        </w:rPr>
      </w:pPr>
    </w:p>
    <w:p w14:paraId="27B1DCD1" w14:textId="77777777" w:rsidR="005A0A8D" w:rsidRDefault="005A0A8D" w:rsidP="00B10581">
      <w:pPr>
        <w:ind w:left="0" w:right="-46" w:firstLine="0"/>
        <w:jc w:val="left"/>
        <w:rPr>
          <w:b/>
          <w:bCs/>
        </w:rPr>
      </w:pPr>
    </w:p>
    <w:p w14:paraId="22DDF797" w14:textId="77777777" w:rsidR="005A0A8D" w:rsidRDefault="005A0A8D" w:rsidP="00B10581">
      <w:pPr>
        <w:ind w:left="0" w:right="-46" w:firstLine="0"/>
        <w:jc w:val="left"/>
        <w:rPr>
          <w:b/>
          <w:bCs/>
        </w:rPr>
      </w:pPr>
    </w:p>
    <w:p w14:paraId="3FBDEDE5" w14:textId="77777777" w:rsidR="005A0A8D" w:rsidRDefault="005A0A8D" w:rsidP="00B10581">
      <w:pPr>
        <w:ind w:left="0" w:right="-46" w:firstLine="0"/>
        <w:jc w:val="left"/>
        <w:rPr>
          <w:b/>
          <w:bCs/>
        </w:rPr>
      </w:pPr>
    </w:p>
    <w:p w14:paraId="10B68F16" w14:textId="77777777" w:rsidR="005A0A8D" w:rsidRDefault="005A0A8D" w:rsidP="00B10581">
      <w:pPr>
        <w:ind w:left="0" w:right="-46" w:firstLine="0"/>
        <w:jc w:val="left"/>
        <w:rPr>
          <w:b/>
          <w:bCs/>
        </w:rPr>
      </w:pPr>
    </w:p>
    <w:p w14:paraId="65DA4C79" w14:textId="77777777" w:rsidR="005A0A8D" w:rsidRDefault="005A0A8D" w:rsidP="00B10581">
      <w:pPr>
        <w:ind w:left="0" w:right="-46" w:firstLine="0"/>
        <w:jc w:val="left"/>
        <w:rPr>
          <w:b/>
          <w:bCs/>
        </w:rPr>
      </w:pPr>
    </w:p>
    <w:p w14:paraId="4F351893" w14:textId="77777777" w:rsidR="005C62E5" w:rsidRDefault="005C62E5" w:rsidP="00B10581">
      <w:pPr>
        <w:ind w:left="0" w:right="-46" w:firstLine="0"/>
        <w:jc w:val="left"/>
        <w:rPr>
          <w:b/>
          <w:bCs/>
        </w:rPr>
      </w:pPr>
    </w:p>
    <w:p w14:paraId="713BFDEC" w14:textId="77777777" w:rsidR="005C62E5" w:rsidRDefault="005C62E5" w:rsidP="00B10581">
      <w:pPr>
        <w:ind w:left="0" w:right="-46" w:firstLine="0"/>
        <w:jc w:val="left"/>
        <w:rPr>
          <w:b/>
          <w:bCs/>
        </w:rPr>
      </w:pPr>
    </w:p>
    <w:p w14:paraId="1E59582D" w14:textId="77777777" w:rsidR="005C62E5" w:rsidRDefault="005C62E5" w:rsidP="00B10581">
      <w:pPr>
        <w:ind w:left="0" w:right="-46" w:firstLine="0"/>
        <w:jc w:val="left"/>
        <w:rPr>
          <w:b/>
          <w:bCs/>
        </w:rPr>
      </w:pPr>
    </w:p>
    <w:p w14:paraId="3864C9A7" w14:textId="57642DDC" w:rsidR="005A1FF3" w:rsidRPr="00DA6EAD" w:rsidRDefault="00595291" w:rsidP="00B10581">
      <w:pPr>
        <w:ind w:left="0" w:right="-46" w:firstLine="0"/>
        <w:jc w:val="left"/>
        <w:rPr>
          <w:b/>
          <w:bCs/>
          <w:sz w:val="32"/>
          <w:szCs w:val="32"/>
        </w:rPr>
      </w:pPr>
      <w:r w:rsidRPr="00DA6EAD">
        <w:rPr>
          <w:b/>
          <w:bCs/>
          <w:sz w:val="32"/>
          <w:szCs w:val="32"/>
        </w:rPr>
        <w:t>Stage</w:t>
      </w:r>
      <w:r w:rsidR="005A1FF3" w:rsidRPr="00DA6EAD">
        <w:rPr>
          <w:b/>
          <w:bCs/>
          <w:sz w:val="32"/>
          <w:szCs w:val="32"/>
        </w:rPr>
        <w:t xml:space="preserve"> 1 </w:t>
      </w:r>
      <w:r w:rsidRPr="00DA6EAD">
        <w:rPr>
          <w:b/>
          <w:bCs/>
          <w:sz w:val="32"/>
          <w:szCs w:val="32"/>
        </w:rPr>
        <w:t xml:space="preserve"> - </w:t>
      </w:r>
      <w:r w:rsidR="00724E81" w:rsidRPr="00DA6EAD">
        <w:rPr>
          <w:b/>
          <w:bCs/>
          <w:sz w:val="32"/>
          <w:szCs w:val="32"/>
        </w:rPr>
        <w:t xml:space="preserve">Written Explanation of Decision </w:t>
      </w:r>
    </w:p>
    <w:p w14:paraId="126EC4BE" w14:textId="6D6C8FCC" w:rsidR="00595291" w:rsidRDefault="00595291" w:rsidP="00B10581">
      <w:pPr>
        <w:ind w:left="0" w:right="-46" w:firstLine="0"/>
        <w:jc w:val="left"/>
      </w:pPr>
      <w:r>
        <w:t>Appeals should be raised with the HR office of the relevant Body/Department</w:t>
      </w:r>
      <w:r w:rsidR="00C04357">
        <w:t xml:space="preserve"> in the first instance</w:t>
      </w:r>
      <w:r w:rsidR="00CB3B36">
        <w:t xml:space="preserve">.  </w:t>
      </w:r>
      <w:r>
        <w:t>For example, if a period of service early in one’s career was not deemed pensionable by the employer at the time and the individual wishes to dispute this, it is the HR office of their employing body/department at the time of that period of employment that should be pursued, and not the final employing Body/Department, if different.</w:t>
      </w:r>
      <w:r w:rsidR="00777C18">
        <w:t xml:space="preserve">  </w:t>
      </w:r>
    </w:p>
    <w:p w14:paraId="47F2612A" w14:textId="77777777" w:rsidR="005C62E5" w:rsidRDefault="005C62E5" w:rsidP="00B10581">
      <w:pPr>
        <w:ind w:left="0" w:right="-46" w:firstLine="0"/>
        <w:jc w:val="left"/>
      </w:pPr>
    </w:p>
    <w:p w14:paraId="63619610" w14:textId="6712667B" w:rsidR="00777C18" w:rsidRDefault="00777C18" w:rsidP="00B10581">
      <w:pPr>
        <w:ind w:left="0" w:right="-46" w:firstLine="0"/>
        <w:jc w:val="left"/>
      </w:pPr>
      <w:r>
        <w:t>If the dispute relates to Dublin City University then the following steps should be taken:</w:t>
      </w:r>
    </w:p>
    <w:p w14:paraId="7694F228" w14:textId="77777777" w:rsidR="00CE6D9B" w:rsidRPr="00CE6D9B" w:rsidRDefault="00595291" w:rsidP="00CE6D9B">
      <w:pPr>
        <w:pStyle w:val="ListParagraph"/>
        <w:ind w:right="-46" w:hanging="720"/>
        <w:rPr>
          <w:b/>
          <w:bCs/>
        </w:rPr>
      </w:pPr>
      <w:r w:rsidRPr="00CE6D9B">
        <w:rPr>
          <w:b/>
          <w:bCs/>
        </w:rPr>
        <w:t>Step 1:</w:t>
      </w:r>
      <w:r w:rsidRPr="00CE6D9B">
        <w:rPr>
          <w:b/>
          <w:bCs/>
        </w:rPr>
        <w:tab/>
      </w:r>
    </w:p>
    <w:p w14:paraId="206084CD" w14:textId="7DC4CBF7" w:rsidR="00595291" w:rsidRDefault="00D9618C" w:rsidP="004224D1">
      <w:pPr>
        <w:pStyle w:val="ListParagraph"/>
        <w:ind w:left="0" w:right="-46"/>
      </w:pPr>
      <w:r>
        <w:t>Appellant</w:t>
      </w:r>
      <w:r w:rsidR="00595291">
        <w:t xml:space="preserve"> expresses concern</w:t>
      </w:r>
      <w:r w:rsidR="00CB3B36">
        <w:t>, in writing</w:t>
      </w:r>
      <w:r w:rsidR="008D624C">
        <w:t>,</w:t>
      </w:r>
      <w:r w:rsidR="00CB3B36">
        <w:t xml:space="preserve"> to </w:t>
      </w:r>
      <w:r w:rsidR="004224D1">
        <w:t xml:space="preserve">the </w:t>
      </w:r>
      <w:r w:rsidR="00142DB0">
        <w:t>DCU People Senior Manager</w:t>
      </w:r>
      <w:r w:rsidR="004224D1">
        <w:t xml:space="preserve">, </w:t>
      </w:r>
      <w:r w:rsidR="00142DB0">
        <w:t>DCU People</w:t>
      </w:r>
      <w:r w:rsidR="004224D1">
        <w:t>, Dublin City University, Dublin 9.</w:t>
      </w:r>
    </w:p>
    <w:p w14:paraId="1635A96A" w14:textId="77777777" w:rsidR="00CE6D9B" w:rsidRDefault="00CE6D9B" w:rsidP="00CE6D9B">
      <w:pPr>
        <w:pStyle w:val="ListParagraph"/>
        <w:ind w:left="0" w:right="-46"/>
      </w:pPr>
      <w:r w:rsidRPr="00CE6D9B">
        <w:rPr>
          <w:b/>
          <w:bCs/>
        </w:rPr>
        <w:t>S</w:t>
      </w:r>
      <w:r w:rsidR="00595291" w:rsidRPr="00CE6D9B">
        <w:rPr>
          <w:b/>
          <w:bCs/>
        </w:rPr>
        <w:t>tep 2</w:t>
      </w:r>
      <w:r w:rsidR="00595291">
        <w:t xml:space="preserve">:  </w:t>
      </w:r>
    </w:p>
    <w:p w14:paraId="00523258" w14:textId="1975AE14" w:rsidR="00777C18" w:rsidRDefault="00777C18" w:rsidP="00CE6D9B">
      <w:pPr>
        <w:pStyle w:val="ListParagraph"/>
        <w:ind w:left="0" w:right="-46"/>
      </w:pPr>
      <w:r>
        <w:t xml:space="preserve">Written explanation to be provided </w:t>
      </w:r>
      <w:r w:rsidR="00744513">
        <w:t xml:space="preserve">to appellant </w:t>
      </w:r>
      <w:r>
        <w:t xml:space="preserve">by DCU </w:t>
      </w:r>
      <w:r w:rsidR="00724E81" w:rsidRPr="00452F05">
        <w:rPr>
          <w:b/>
          <w:bCs/>
          <w:u w:val="single"/>
        </w:rPr>
        <w:t>within one week</w:t>
      </w:r>
      <w:r w:rsidR="00724E81">
        <w:t xml:space="preserve"> of</w:t>
      </w:r>
      <w:r>
        <w:t xml:space="preserve"> receipt of complaint. </w:t>
      </w:r>
    </w:p>
    <w:p w14:paraId="051FDB48" w14:textId="77777777" w:rsidR="00724E81" w:rsidRDefault="00724E81" w:rsidP="00B10581">
      <w:pPr>
        <w:pStyle w:val="ListParagraph"/>
        <w:ind w:right="-46"/>
      </w:pPr>
    </w:p>
    <w:p w14:paraId="3E93C04A" w14:textId="5CBE61E3" w:rsidR="00AC2B0C" w:rsidRDefault="00AC2B0C" w:rsidP="00B10581">
      <w:pPr>
        <w:pStyle w:val="ListParagraph"/>
        <w:ind w:right="-46"/>
      </w:pPr>
      <w:r>
        <w:t xml:space="preserve">Where </w:t>
      </w:r>
      <w:r w:rsidR="00744513">
        <w:t xml:space="preserve">the appellant </w:t>
      </w:r>
      <w:r>
        <w:t xml:space="preserve">does not accept the findings under stage 1 </w:t>
      </w:r>
      <w:r w:rsidR="00CB3B36">
        <w:t>they can pursue a formal appeal via Stage 2 of the</w:t>
      </w:r>
      <w:r w:rsidR="008D624C">
        <w:t xml:space="preserve"> Internal Disputes Resolution</w:t>
      </w:r>
      <w:r w:rsidR="00CB3B36">
        <w:t xml:space="preserve"> Procedure.</w:t>
      </w:r>
    </w:p>
    <w:p w14:paraId="16416737" w14:textId="77777777" w:rsidR="00DA6EAD" w:rsidRDefault="00DA6EAD" w:rsidP="00B10581">
      <w:pPr>
        <w:ind w:left="0" w:right="-46" w:firstLine="0"/>
        <w:rPr>
          <w:b/>
          <w:bCs/>
        </w:rPr>
      </w:pPr>
    </w:p>
    <w:p w14:paraId="461A48D0" w14:textId="2FF2F22D" w:rsidR="00724E81" w:rsidRPr="00DA6EAD" w:rsidRDefault="00724E81" w:rsidP="00B10581">
      <w:pPr>
        <w:ind w:left="0" w:right="-46" w:firstLine="0"/>
        <w:rPr>
          <w:b/>
          <w:bCs/>
          <w:sz w:val="32"/>
          <w:szCs w:val="32"/>
        </w:rPr>
      </w:pPr>
      <w:r w:rsidRPr="00DA6EAD">
        <w:rPr>
          <w:b/>
          <w:bCs/>
          <w:sz w:val="32"/>
          <w:szCs w:val="32"/>
        </w:rPr>
        <w:t>Stage 2 – Formal Appeal</w:t>
      </w:r>
    </w:p>
    <w:p w14:paraId="39F1BF4A" w14:textId="6CFF6722" w:rsidR="00595291" w:rsidRDefault="00AC2B0C" w:rsidP="00B10581">
      <w:pPr>
        <w:ind w:left="0" w:right="-46" w:firstLine="0"/>
      </w:pPr>
      <w:r>
        <w:t xml:space="preserve">The </w:t>
      </w:r>
      <w:r w:rsidR="00D9618C">
        <w:t>Appellant</w:t>
      </w:r>
      <w:r>
        <w:t xml:space="preserve"> should notify </w:t>
      </w:r>
      <w:r w:rsidR="0073418B">
        <w:t>their LHR</w:t>
      </w:r>
      <w:r>
        <w:t xml:space="preserve"> that they wish to pursue a formal appeal.  The complaint should be submitted in writing </w:t>
      </w:r>
      <w:r w:rsidR="00270321">
        <w:t xml:space="preserve">to the </w:t>
      </w:r>
      <w:r w:rsidR="00142DB0">
        <w:t>DCU People Senior Manager</w:t>
      </w:r>
      <w:r w:rsidR="00270321">
        <w:t xml:space="preserve">, </w:t>
      </w:r>
      <w:r w:rsidR="00142DB0">
        <w:t>DCU People</w:t>
      </w:r>
      <w:r w:rsidR="00270321">
        <w:t xml:space="preserve">, Dublin City University, Dublin 9 </w:t>
      </w:r>
      <w:r>
        <w:t>with information including:</w:t>
      </w:r>
    </w:p>
    <w:p w14:paraId="02DC02B6" w14:textId="450BE1DD" w:rsidR="00AC2B0C" w:rsidRPr="00AC2B0C" w:rsidRDefault="00AC2B0C" w:rsidP="00B10581">
      <w:pPr>
        <w:ind w:left="0" w:right="-46" w:firstLine="0"/>
        <w:rPr>
          <w:b/>
          <w:bCs/>
        </w:rPr>
      </w:pPr>
      <w:r w:rsidRPr="00AC2B0C">
        <w:rPr>
          <w:b/>
          <w:bCs/>
        </w:rPr>
        <w:t>Step 1</w:t>
      </w:r>
      <w:r w:rsidR="00CE6D9B">
        <w:rPr>
          <w:b/>
          <w:bCs/>
        </w:rPr>
        <w:t>:</w:t>
      </w:r>
      <w:r w:rsidRPr="00AC2B0C">
        <w:rPr>
          <w:b/>
          <w:bCs/>
        </w:rPr>
        <w:tab/>
      </w:r>
    </w:p>
    <w:p w14:paraId="0FDD948E" w14:textId="5FF6A897" w:rsidR="00AC2B0C" w:rsidRDefault="00AC2B0C" w:rsidP="00B10581">
      <w:pPr>
        <w:pStyle w:val="ListParagraph"/>
        <w:numPr>
          <w:ilvl w:val="0"/>
          <w:numId w:val="3"/>
        </w:numPr>
        <w:ind w:right="-46"/>
      </w:pPr>
      <w:r>
        <w:t>The name, address and date of birth of the beneficiary of disputed/potential beneficiary</w:t>
      </w:r>
    </w:p>
    <w:p w14:paraId="0643138E" w14:textId="45AF265D" w:rsidR="00AC2B0C" w:rsidRDefault="00AC2B0C" w:rsidP="00B10581">
      <w:pPr>
        <w:pStyle w:val="ListParagraph"/>
        <w:numPr>
          <w:ilvl w:val="0"/>
          <w:numId w:val="3"/>
        </w:numPr>
        <w:ind w:right="-46"/>
      </w:pPr>
      <w:r>
        <w:t>A correspondence address</w:t>
      </w:r>
    </w:p>
    <w:p w14:paraId="4B405E34" w14:textId="07665FD1" w:rsidR="00AC2B0C" w:rsidRDefault="00AC2B0C" w:rsidP="00B10581">
      <w:pPr>
        <w:pStyle w:val="ListParagraph"/>
        <w:numPr>
          <w:ilvl w:val="0"/>
          <w:numId w:val="3"/>
        </w:numPr>
        <w:ind w:right="-46"/>
      </w:pPr>
      <w:r>
        <w:t>Details of the dispute, including the response they received at Stage 1 (or earlier)</w:t>
      </w:r>
    </w:p>
    <w:p w14:paraId="4502E41E" w14:textId="42D5FC44" w:rsidR="00AC2B0C" w:rsidRDefault="00AC2B0C" w:rsidP="00B10581">
      <w:pPr>
        <w:pStyle w:val="ListParagraph"/>
        <w:numPr>
          <w:ilvl w:val="0"/>
          <w:numId w:val="3"/>
        </w:numPr>
        <w:ind w:right="-46"/>
      </w:pPr>
      <w:r>
        <w:t>A clear statement of the reasons why they are still aggrieved and the grounds on which the appeal is being continued to Stage 2.  Provide detailed information, e.g. relevant dates, places and times.</w:t>
      </w:r>
    </w:p>
    <w:p w14:paraId="4C439446" w14:textId="01416ECF" w:rsidR="007A2E66" w:rsidRDefault="007A2E66" w:rsidP="007A2E66">
      <w:pPr>
        <w:ind w:left="0" w:right="-46" w:firstLine="0"/>
      </w:pPr>
      <w:r>
        <w:t>The statement must be in writing and signed on or on behalf of the actual disputed/potential beneficiary.  Copies of documents referred to, and evidence being relied upon e.g. contracts, scheme rules, statements, emails, letters, invoices and receipts should be included also.</w:t>
      </w:r>
    </w:p>
    <w:p w14:paraId="102BAEED" w14:textId="77777777" w:rsidR="007A2E66" w:rsidRDefault="007A2E66" w:rsidP="007A2E66">
      <w:pPr>
        <w:ind w:left="0" w:right="-46" w:firstLine="0"/>
      </w:pPr>
    </w:p>
    <w:p w14:paraId="38C5CB1E" w14:textId="73E4C215" w:rsidR="00752EB2" w:rsidRPr="001C22CF" w:rsidRDefault="00752EB2" w:rsidP="00B10581">
      <w:pPr>
        <w:ind w:left="360" w:right="-46"/>
        <w:rPr>
          <w:b/>
          <w:bCs/>
        </w:rPr>
      </w:pPr>
      <w:r w:rsidRPr="001C22CF">
        <w:rPr>
          <w:b/>
          <w:bCs/>
        </w:rPr>
        <w:t>Step 2</w:t>
      </w:r>
      <w:r w:rsidR="00CE6D9B">
        <w:rPr>
          <w:b/>
          <w:bCs/>
        </w:rPr>
        <w:t>:</w:t>
      </w:r>
    </w:p>
    <w:p w14:paraId="3C571F71" w14:textId="0026D5E4" w:rsidR="006C5384" w:rsidRDefault="0065719C" w:rsidP="0073418B">
      <w:pPr>
        <w:pStyle w:val="ListParagraph"/>
        <w:numPr>
          <w:ilvl w:val="0"/>
          <w:numId w:val="4"/>
        </w:numPr>
        <w:ind w:left="709" w:right="-46" w:hanging="283"/>
      </w:pPr>
      <w:r>
        <w:t xml:space="preserve">The appeal documents </w:t>
      </w:r>
      <w:r w:rsidR="00D47962">
        <w:t xml:space="preserve">will </w:t>
      </w:r>
      <w:r>
        <w:t xml:space="preserve">be submitted by </w:t>
      </w:r>
      <w:r w:rsidR="00D47962">
        <w:t xml:space="preserve">DCU </w:t>
      </w:r>
      <w:r w:rsidR="00991BD6">
        <w:t>t</w:t>
      </w:r>
      <w:r>
        <w:t xml:space="preserve">o the line department of the referring Minister </w:t>
      </w:r>
      <w:r w:rsidR="008278C8">
        <w:t xml:space="preserve">(Minister </w:t>
      </w:r>
      <w:r w:rsidR="0098480E">
        <w:t xml:space="preserve">of </w:t>
      </w:r>
      <w:r w:rsidR="005A0A8D">
        <w:t>Public Expenditure, NDP Delivery &amp; Reform</w:t>
      </w:r>
      <w:r w:rsidR="006C5384">
        <w:t xml:space="preserve">) </w:t>
      </w:r>
      <w:r>
        <w:t xml:space="preserve">specified in the scheme rules/governing legislation </w:t>
      </w:r>
      <w:r w:rsidRPr="00156980">
        <w:rPr>
          <w:b/>
          <w:bCs/>
        </w:rPr>
        <w:t>within 2 weeks</w:t>
      </w:r>
      <w:r>
        <w:t xml:space="preserve"> of receiving the appellant’s appeal.</w:t>
      </w:r>
      <w:r w:rsidR="006C5384">
        <w:t xml:space="preserve">  </w:t>
      </w:r>
    </w:p>
    <w:p w14:paraId="5585BDA2" w14:textId="6B27D8C6" w:rsidR="0065719C" w:rsidRDefault="00156980" w:rsidP="00B10581">
      <w:pPr>
        <w:pStyle w:val="ListParagraph"/>
        <w:numPr>
          <w:ilvl w:val="0"/>
          <w:numId w:val="4"/>
        </w:numPr>
        <w:ind w:left="709" w:right="-46" w:hanging="283"/>
      </w:pPr>
      <w:r>
        <w:t>The line department</w:t>
      </w:r>
      <w:r w:rsidR="005A0A8D">
        <w:t>, Public Expenditure, NDP Delivery &amp; Reform (DPENDR)</w:t>
      </w:r>
      <w:r w:rsidR="00F32027">
        <w:t xml:space="preserve"> </w:t>
      </w:r>
      <w:r w:rsidR="0065719C">
        <w:t>will ensure it has all the necessary information</w:t>
      </w:r>
      <w:r w:rsidR="00CB3B36">
        <w:t xml:space="preserve">, both from the </w:t>
      </w:r>
      <w:r w:rsidR="00D9618C">
        <w:t>appellant</w:t>
      </w:r>
      <w:r w:rsidR="00CB3B36">
        <w:t xml:space="preserve">’s point of view and </w:t>
      </w:r>
      <w:r w:rsidR="00DE5CF3">
        <w:t>DCU’s</w:t>
      </w:r>
      <w:r w:rsidR="00CB3B36">
        <w:t xml:space="preserve"> point of view.  </w:t>
      </w:r>
    </w:p>
    <w:p w14:paraId="5B3753B8" w14:textId="456B1B84" w:rsidR="00B85027" w:rsidRDefault="00156980" w:rsidP="00B10581">
      <w:pPr>
        <w:pStyle w:val="ListParagraph"/>
        <w:numPr>
          <w:ilvl w:val="0"/>
          <w:numId w:val="4"/>
        </w:numPr>
        <w:ind w:left="709" w:right="-46" w:hanging="283"/>
      </w:pPr>
      <w:r>
        <w:t>The line department</w:t>
      </w:r>
      <w:r w:rsidR="00B85027">
        <w:t xml:space="preserve"> </w:t>
      </w:r>
      <w:r w:rsidR="00F32027">
        <w:t>(</w:t>
      </w:r>
      <w:r w:rsidR="005A0A8D">
        <w:t>DPENDR</w:t>
      </w:r>
      <w:r w:rsidR="00F32027">
        <w:t xml:space="preserve">) </w:t>
      </w:r>
      <w:r w:rsidR="00B85027">
        <w:t xml:space="preserve">will set out a factual description of the </w:t>
      </w:r>
      <w:r w:rsidR="00D9618C">
        <w:t>appellant</w:t>
      </w:r>
      <w:r w:rsidR="00B85027">
        <w:t xml:space="preserve">’s case including relevant legislation/scheme rules so that the case can be adjudicated upon by the Minister for Per. </w:t>
      </w:r>
    </w:p>
    <w:p w14:paraId="58FF4B13" w14:textId="1ACD8547" w:rsidR="00B85027" w:rsidRDefault="00156980" w:rsidP="00B10581">
      <w:pPr>
        <w:pStyle w:val="ListParagraph"/>
        <w:numPr>
          <w:ilvl w:val="0"/>
          <w:numId w:val="4"/>
        </w:numPr>
        <w:ind w:left="709" w:right="-46" w:hanging="283"/>
      </w:pPr>
      <w:r>
        <w:lastRenderedPageBreak/>
        <w:t>The line department</w:t>
      </w:r>
      <w:r w:rsidR="00F32027">
        <w:t xml:space="preserve"> (</w:t>
      </w:r>
      <w:r w:rsidR="005A0A8D">
        <w:t>DPENDR</w:t>
      </w:r>
      <w:r w:rsidR="00F32027">
        <w:t>)</w:t>
      </w:r>
      <w:r w:rsidR="00B85027">
        <w:t xml:space="preserve"> will ensure the papers and signed checklist (</w:t>
      </w:r>
      <w:r w:rsidR="0073418B">
        <w:t>as per Circular 16/2020</w:t>
      </w:r>
      <w:r w:rsidR="00B85027">
        <w:t xml:space="preserve">) are submitted to DPER (and copied to </w:t>
      </w:r>
      <w:r w:rsidR="00D9618C">
        <w:t>appellant</w:t>
      </w:r>
      <w:r w:rsidR="00B85027">
        <w:t xml:space="preserve">) </w:t>
      </w:r>
      <w:r w:rsidR="00B85027" w:rsidRPr="00452F05">
        <w:rPr>
          <w:b/>
          <w:bCs/>
        </w:rPr>
        <w:t>within 2 weeks</w:t>
      </w:r>
      <w:r w:rsidR="00B85027">
        <w:t xml:space="preserve"> of receiving the papers from the public service body.</w:t>
      </w:r>
    </w:p>
    <w:p w14:paraId="7B996F59" w14:textId="57172365" w:rsidR="000C143B" w:rsidRDefault="00156980" w:rsidP="00B10581">
      <w:pPr>
        <w:pStyle w:val="ListParagraph"/>
        <w:numPr>
          <w:ilvl w:val="0"/>
          <w:numId w:val="4"/>
        </w:numPr>
        <w:ind w:left="709" w:right="-46" w:hanging="283"/>
      </w:pPr>
      <w:r>
        <w:t>DCU</w:t>
      </w:r>
      <w:r w:rsidR="000C143B">
        <w:t xml:space="preserve"> </w:t>
      </w:r>
      <w:r w:rsidR="001235EA">
        <w:t>will</w:t>
      </w:r>
      <w:r w:rsidR="000C143B">
        <w:t xml:space="preserve"> notify the </w:t>
      </w:r>
      <w:r w:rsidR="00D9618C">
        <w:t>appellant</w:t>
      </w:r>
      <w:r w:rsidR="000C143B">
        <w:t xml:space="preserve"> that they have </w:t>
      </w:r>
      <w:r w:rsidR="000C143B" w:rsidRPr="00452F05">
        <w:rPr>
          <w:b/>
          <w:bCs/>
        </w:rPr>
        <w:t>10 days</w:t>
      </w:r>
      <w:r w:rsidR="000C143B">
        <w:t xml:space="preserve"> in which to forward comments to the Pensions Appeals Team in </w:t>
      </w:r>
      <w:r w:rsidR="00F32027">
        <w:t xml:space="preserve">the Department of </w:t>
      </w:r>
      <w:r w:rsidR="0098480E">
        <w:t>Further and Higher Education, Innovation &amp; Science.</w:t>
      </w:r>
    </w:p>
    <w:p w14:paraId="161ABAF0" w14:textId="6F6B64DF" w:rsidR="000C143B" w:rsidRDefault="000C143B" w:rsidP="00B10581">
      <w:pPr>
        <w:pStyle w:val="ListParagraph"/>
        <w:numPr>
          <w:ilvl w:val="0"/>
          <w:numId w:val="4"/>
        </w:numPr>
        <w:ind w:left="709" w:right="-46" w:hanging="283"/>
      </w:pPr>
      <w:r>
        <w:t xml:space="preserve">In the course of examining the appeal, the advice of an expert in the relevant area, such as a lawyer, actuary, pension consultant or accountant, who is not involved in the matter at issue, may be sought by </w:t>
      </w:r>
      <w:r w:rsidR="0098480E">
        <w:t xml:space="preserve">the </w:t>
      </w:r>
      <w:r w:rsidR="001E5C6F">
        <w:t>DPENDR</w:t>
      </w:r>
      <w:r w:rsidR="0084376E">
        <w:t>.  If such is being sou</w:t>
      </w:r>
      <w:r w:rsidR="00D9618C">
        <w:t>ght</w:t>
      </w:r>
      <w:r w:rsidR="0084376E">
        <w:t xml:space="preserve">, the </w:t>
      </w:r>
      <w:r w:rsidR="001E5C6F">
        <w:t>DPENDR</w:t>
      </w:r>
      <w:r w:rsidR="0084376E">
        <w:t xml:space="preserve"> Appeals Office will:</w:t>
      </w:r>
    </w:p>
    <w:p w14:paraId="7B3C3E74" w14:textId="00477AFD" w:rsidR="0084376E" w:rsidRDefault="0084376E" w:rsidP="00B10581">
      <w:pPr>
        <w:pStyle w:val="ListParagraph"/>
        <w:numPr>
          <w:ilvl w:val="0"/>
          <w:numId w:val="5"/>
        </w:numPr>
        <w:ind w:right="-46"/>
      </w:pPr>
      <w:r>
        <w:t>Inform the parties of their intention to ask for expert advice;</w:t>
      </w:r>
    </w:p>
    <w:p w14:paraId="02F7BAE7" w14:textId="523E8000" w:rsidR="0084376E" w:rsidRDefault="0084376E" w:rsidP="00B10581">
      <w:pPr>
        <w:pStyle w:val="ListParagraph"/>
        <w:numPr>
          <w:ilvl w:val="0"/>
          <w:numId w:val="5"/>
        </w:numPr>
        <w:ind w:right="-46"/>
      </w:pPr>
      <w:r>
        <w:t xml:space="preserve">On receipt of the advice, inform the parties of the nature of the advice obtained, and </w:t>
      </w:r>
    </w:p>
    <w:p w14:paraId="44FC6FCF" w14:textId="2BE32466" w:rsidR="0084376E" w:rsidRDefault="0084376E" w:rsidP="00B10581">
      <w:pPr>
        <w:pStyle w:val="ListParagraph"/>
        <w:numPr>
          <w:ilvl w:val="0"/>
          <w:numId w:val="5"/>
        </w:numPr>
        <w:ind w:right="-46"/>
      </w:pPr>
      <w:r>
        <w:t>Give the parties an opportunity to make submissions in regard to the advice.</w:t>
      </w:r>
    </w:p>
    <w:p w14:paraId="68886529" w14:textId="26DCF094" w:rsidR="00D82C5A" w:rsidRDefault="00D82C5A" w:rsidP="00B10581">
      <w:pPr>
        <w:pStyle w:val="ListParagraph"/>
        <w:numPr>
          <w:ilvl w:val="0"/>
          <w:numId w:val="4"/>
        </w:numPr>
        <w:ind w:left="709" w:right="-46" w:hanging="283"/>
      </w:pPr>
      <w:r>
        <w:t xml:space="preserve">A “notice of determination” will be given in writing to the appellant </w:t>
      </w:r>
      <w:r w:rsidRPr="00452F05">
        <w:rPr>
          <w:b/>
          <w:bCs/>
        </w:rPr>
        <w:t>within 3 months</w:t>
      </w:r>
      <w:r>
        <w:t xml:space="preserve"> from the date all particulars required to make the determination have been furnished.  The notice of determination will include:</w:t>
      </w:r>
    </w:p>
    <w:p w14:paraId="578DA9A3" w14:textId="7823CD6D" w:rsidR="00D82C5A" w:rsidRDefault="00D82C5A" w:rsidP="006C5384">
      <w:pPr>
        <w:pStyle w:val="ListParagraph"/>
        <w:numPr>
          <w:ilvl w:val="0"/>
          <w:numId w:val="7"/>
        </w:numPr>
        <w:ind w:left="2268" w:right="-46" w:hanging="425"/>
      </w:pPr>
      <w:r>
        <w:t>a statement of determination;</w:t>
      </w:r>
    </w:p>
    <w:p w14:paraId="043CC7C7" w14:textId="11368D1E" w:rsidR="00D82C5A" w:rsidRDefault="00D82C5A" w:rsidP="006C5384">
      <w:pPr>
        <w:pStyle w:val="ListParagraph"/>
        <w:numPr>
          <w:ilvl w:val="0"/>
          <w:numId w:val="7"/>
        </w:numPr>
        <w:ind w:left="2268" w:right="-46" w:hanging="425"/>
      </w:pPr>
      <w:r>
        <w:t>the reasons for the determination, and any finding of the fact that were material to the determination;</w:t>
      </w:r>
    </w:p>
    <w:p w14:paraId="7C2F8279" w14:textId="431446F4" w:rsidR="00D82C5A" w:rsidRDefault="00D82C5A" w:rsidP="006C5384">
      <w:pPr>
        <w:pStyle w:val="ListParagraph"/>
        <w:numPr>
          <w:ilvl w:val="0"/>
          <w:numId w:val="7"/>
        </w:numPr>
        <w:ind w:left="2268" w:right="-46" w:hanging="425"/>
      </w:pPr>
      <w:r>
        <w:t xml:space="preserve">a reference to such parts of any rules of the scheme relied upon and, where a discretion has been exercised, a reference to such part of the rules of the scheme by which such discretion is </w:t>
      </w:r>
      <w:r w:rsidR="00522394">
        <w:t>conferred</w:t>
      </w:r>
      <w:r>
        <w:t>;</w:t>
      </w:r>
    </w:p>
    <w:p w14:paraId="674735C8" w14:textId="51231882" w:rsidR="00D82C5A" w:rsidRDefault="00D82C5A" w:rsidP="006C5384">
      <w:pPr>
        <w:pStyle w:val="ListParagraph"/>
        <w:numPr>
          <w:ilvl w:val="0"/>
          <w:numId w:val="7"/>
        </w:numPr>
        <w:ind w:left="2268" w:right="-46" w:hanging="425"/>
      </w:pPr>
      <w:r>
        <w:t>a reference to any legislation, legal precedent, ruling of other material relied upon; and</w:t>
      </w:r>
    </w:p>
    <w:p w14:paraId="4A97B57B" w14:textId="116C1594" w:rsidR="00D82C5A" w:rsidRDefault="00D82C5A" w:rsidP="006C5384">
      <w:pPr>
        <w:pStyle w:val="ListParagraph"/>
        <w:numPr>
          <w:ilvl w:val="0"/>
          <w:numId w:val="7"/>
        </w:numPr>
        <w:ind w:left="2268" w:right="-46" w:hanging="425"/>
      </w:pPr>
      <w:r>
        <w:t xml:space="preserve">a statement that the </w:t>
      </w:r>
      <w:r w:rsidR="00D9618C">
        <w:t>appellant</w:t>
      </w:r>
      <w:r>
        <w:t xml:space="preserve"> </w:t>
      </w:r>
      <w:r w:rsidR="00D9618C">
        <w:t xml:space="preserve">should check whether the complaint of dispute is one in respect of which the Financial Service and Pensions Ombudsman </w:t>
      </w:r>
      <w:r w:rsidR="004E5C81">
        <w:t xml:space="preserve">(FSPO) </w:t>
      </w:r>
      <w:r w:rsidR="00D9618C">
        <w:t>has jurisdiction to investigate.</w:t>
      </w:r>
    </w:p>
    <w:p w14:paraId="73B4D0F3" w14:textId="66AE31FC" w:rsidR="006B1386" w:rsidRDefault="00156980" w:rsidP="00156980">
      <w:pPr>
        <w:tabs>
          <w:tab w:val="left" w:pos="709"/>
        </w:tabs>
        <w:ind w:left="709" w:right="-46" w:firstLine="0"/>
      </w:pPr>
      <w:r>
        <w:t>The determination will also be shared with the relevant line department who will forward to DCU with an instruction to make any necessary changes/revisions to the pension as result of the determination.</w:t>
      </w:r>
    </w:p>
    <w:p w14:paraId="64C8E30A" w14:textId="77777777" w:rsidR="00A1339F" w:rsidRDefault="00A1339F" w:rsidP="004E5C81">
      <w:pPr>
        <w:ind w:left="284" w:right="-46" w:firstLine="0"/>
      </w:pPr>
    </w:p>
    <w:p w14:paraId="32352274" w14:textId="77777777" w:rsidR="00744513" w:rsidRDefault="00744513" w:rsidP="004E5C81">
      <w:pPr>
        <w:ind w:left="284" w:right="-46" w:firstLine="0"/>
      </w:pPr>
    </w:p>
    <w:p w14:paraId="0B2A81E6" w14:textId="77777777" w:rsidR="007A2E66" w:rsidRDefault="007A2E66" w:rsidP="004E5C81">
      <w:pPr>
        <w:ind w:left="284" w:right="-46" w:firstLine="0"/>
      </w:pPr>
    </w:p>
    <w:p w14:paraId="6C02E3BE" w14:textId="77777777" w:rsidR="002C47EB" w:rsidRDefault="002C47EB" w:rsidP="002C47EB">
      <w:pPr>
        <w:ind w:left="0" w:right="-46" w:firstLine="0"/>
      </w:pPr>
    </w:p>
    <w:p w14:paraId="6E620DF4" w14:textId="77777777" w:rsidR="002C47EB" w:rsidRDefault="002C47EB" w:rsidP="004E5C81">
      <w:pPr>
        <w:ind w:left="284" w:right="-46" w:firstLine="0"/>
      </w:pPr>
    </w:p>
    <w:p w14:paraId="219FF2A2" w14:textId="77777777" w:rsidR="007A2E66" w:rsidRDefault="007A2E66" w:rsidP="004E5C81">
      <w:pPr>
        <w:ind w:left="284" w:right="-46" w:firstLine="0"/>
      </w:pPr>
    </w:p>
    <w:p w14:paraId="2D319C6B" w14:textId="77777777" w:rsidR="0009176F" w:rsidRDefault="0009176F" w:rsidP="004E5C81">
      <w:pPr>
        <w:ind w:left="284" w:right="-46" w:firstLine="0"/>
      </w:pPr>
    </w:p>
    <w:p w14:paraId="3EC4A89E" w14:textId="77777777" w:rsidR="0009176F" w:rsidRDefault="0009176F" w:rsidP="004E5C81">
      <w:pPr>
        <w:ind w:left="284" w:right="-46" w:firstLine="0"/>
      </w:pPr>
    </w:p>
    <w:p w14:paraId="320EBD44" w14:textId="77777777" w:rsidR="0009176F" w:rsidRDefault="0009176F" w:rsidP="004E5C81">
      <w:pPr>
        <w:ind w:left="284" w:right="-46" w:firstLine="0"/>
      </w:pPr>
    </w:p>
    <w:p w14:paraId="02BA5B77" w14:textId="77777777" w:rsidR="007A2E66" w:rsidRDefault="007A2E66" w:rsidP="004E5C81">
      <w:pPr>
        <w:ind w:left="284" w:right="-46" w:firstLine="0"/>
      </w:pPr>
    </w:p>
    <w:p w14:paraId="19D1F4CF" w14:textId="77777777" w:rsidR="007A2E66" w:rsidRDefault="007A2E66" w:rsidP="004E5C81">
      <w:pPr>
        <w:ind w:left="284" w:right="-46" w:firstLine="0"/>
      </w:pPr>
    </w:p>
    <w:p w14:paraId="258EF097" w14:textId="77777777" w:rsidR="00A1339F" w:rsidRDefault="00A1339F" w:rsidP="004E5C81">
      <w:pPr>
        <w:ind w:left="284" w:right="-46" w:firstLine="0"/>
      </w:pPr>
    </w:p>
    <w:p w14:paraId="4B3312A5" w14:textId="77777777" w:rsidR="00A1339F" w:rsidRDefault="00A1339F" w:rsidP="004E5C81">
      <w:pPr>
        <w:ind w:left="284" w:right="-46" w:firstLine="0"/>
      </w:pPr>
    </w:p>
    <w:p w14:paraId="37BEA212" w14:textId="77777777" w:rsidR="00A1339F" w:rsidRDefault="00A1339F" w:rsidP="004E5C81">
      <w:pPr>
        <w:ind w:left="284" w:right="-46" w:firstLine="0"/>
      </w:pPr>
    </w:p>
    <w:p w14:paraId="202964DB" w14:textId="77777777" w:rsidR="00A1339F" w:rsidRDefault="00A1339F" w:rsidP="004E5C81">
      <w:pPr>
        <w:ind w:left="284" w:right="-46" w:firstLine="0"/>
      </w:pPr>
    </w:p>
    <w:p w14:paraId="2CC4E519" w14:textId="77777777" w:rsidR="00A1339F" w:rsidRDefault="00A1339F" w:rsidP="004E5C81">
      <w:pPr>
        <w:ind w:left="284" w:right="-46" w:firstLine="0"/>
      </w:pPr>
    </w:p>
    <w:p w14:paraId="4616ECE8" w14:textId="77777777" w:rsidR="00A1339F" w:rsidRDefault="00A1339F" w:rsidP="004E5C81">
      <w:pPr>
        <w:ind w:left="284" w:right="-46" w:firstLine="0"/>
      </w:pPr>
    </w:p>
    <w:p w14:paraId="13A8B8F9" w14:textId="77777777" w:rsidR="00A1339F" w:rsidRDefault="00A1339F" w:rsidP="004E5C81">
      <w:pPr>
        <w:ind w:left="284" w:right="-46" w:firstLine="0"/>
      </w:pPr>
    </w:p>
    <w:p w14:paraId="31EA1CCE" w14:textId="77777777" w:rsidR="00A1339F" w:rsidRDefault="00A1339F" w:rsidP="004E5C81">
      <w:pPr>
        <w:ind w:left="284" w:right="-46" w:firstLine="0"/>
      </w:pPr>
    </w:p>
    <w:p w14:paraId="61AF5FB6" w14:textId="77777777" w:rsidR="00A1339F" w:rsidRDefault="00A1339F" w:rsidP="004E5C81">
      <w:pPr>
        <w:ind w:left="284" w:right="-46" w:firstLine="0"/>
      </w:pPr>
    </w:p>
    <w:p w14:paraId="5FAE8918" w14:textId="45747B81" w:rsidR="00332D56" w:rsidRDefault="009E409A" w:rsidP="00332D56">
      <w:pPr>
        <w:ind w:left="360"/>
      </w:pPr>
      <w:r>
        <w:rPr>
          <w:noProof/>
        </w:rPr>
        <mc:AlternateContent>
          <mc:Choice Requires="wps">
            <w:drawing>
              <wp:anchor distT="45720" distB="45720" distL="114300" distR="114300" simplePos="0" relativeHeight="251659264" behindDoc="0" locked="0" layoutInCell="1" allowOverlap="1" wp14:anchorId="7B1E840D" wp14:editId="566395BE">
                <wp:simplePos x="0" y="0"/>
                <wp:positionH relativeFrom="column">
                  <wp:posOffset>1819275</wp:posOffset>
                </wp:positionH>
                <wp:positionV relativeFrom="paragraph">
                  <wp:posOffset>9525</wp:posOffset>
                </wp:positionV>
                <wp:extent cx="2291080" cy="5048250"/>
                <wp:effectExtent l="0" t="0" r="0" b="0"/>
                <wp:wrapSquare wrapText="bothSides"/>
                <wp:docPr id="130178696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1080" cy="5048250"/>
                        </a:xfrm>
                        <a:prstGeom prst="rect">
                          <a:avLst/>
                        </a:prstGeom>
                        <a:solidFill>
                          <a:srgbClr val="FFFFFF"/>
                        </a:solidFill>
                        <a:ln w="9525">
                          <a:noFill/>
                          <a:miter lim="800000"/>
                          <a:headEnd/>
                          <a:tailEnd/>
                        </a:ln>
                      </wps:spPr>
                      <wps:txbx>
                        <w:txbxContent>
                          <w:tbl>
                            <w:tblPr>
                              <w:tblStyle w:val="TableGrid"/>
                              <w:tblOverlap w:val="never"/>
                              <w:tblW w:w="3917" w:type="dxa"/>
                              <w:tblInd w:w="0" w:type="dxa"/>
                              <w:tblLook w:val="04A0" w:firstRow="1" w:lastRow="0" w:firstColumn="1" w:lastColumn="0" w:noHBand="0" w:noVBand="1"/>
                            </w:tblPr>
                            <w:tblGrid>
                              <w:gridCol w:w="7525"/>
                            </w:tblGrid>
                            <w:tr w:rsidR="00332D56" w14:paraId="7BFDB272" w14:textId="77777777" w:rsidTr="001A5781">
                              <w:trPr>
                                <w:trHeight w:val="2680"/>
                              </w:trPr>
                              <w:tc>
                                <w:tcPr>
                                  <w:tcW w:w="1239" w:type="dxa"/>
                                  <w:tcBorders>
                                    <w:top w:val="nil"/>
                                    <w:left w:val="nil"/>
                                    <w:bottom w:val="nil"/>
                                    <w:right w:val="nil"/>
                                  </w:tcBorders>
                                </w:tcPr>
                                <w:p w14:paraId="78E6582D" w14:textId="77777777" w:rsidR="00332D56" w:rsidRDefault="00332D56" w:rsidP="001C22CF">
                                  <w:pPr>
                                    <w:spacing w:line="259" w:lineRule="auto"/>
                                    <w:ind w:left="-6286" w:right="31" w:firstLine="0"/>
                                    <w:suppressOverlap/>
                                    <w:jc w:val="left"/>
                                  </w:pPr>
                                </w:p>
                                <w:tbl>
                                  <w:tblPr>
                                    <w:tblStyle w:val="TableGrid"/>
                                    <w:tblW w:w="1112" w:type="dxa"/>
                                    <w:tblInd w:w="96" w:type="dxa"/>
                                    <w:tblCellMar>
                                      <w:top w:w="136" w:type="dxa"/>
                                      <w:left w:w="179" w:type="dxa"/>
                                      <w:right w:w="115" w:type="dxa"/>
                                    </w:tblCellMar>
                                    <w:tblLook w:val="04A0" w:firstRow="1" w:lastRow="0" w:firstColumn="1" w:lastColumn="0" w:noHBand="0" w:noVBand="1"/>
                                  </w:tblPr>
                                  <w:tblGrid>
                                    <w:gridCol w:w="1112"/>
                                  </w:tblGrid>
                                  <w:tr w:rsidR="00332D56" w14:paraId="00E82CE8" w14:textId="77777777" w:rsidTr="001A5781">
                                    <w:trPr>
                                      <w:trHeight w:val="753"/>
                                    </w:trPr>
                                    <w:tc>
                                      <w:tcPr>
                                        <w:tcW w:w="1112" w:type="dxa"/>
                                        <w:tcBorders>
                                          <w:top w:val="single" w:sz="2" w:space="0" w:color="000000"/>
                                          <w:left w:val="single" w:sz="2" w:space="0" w:color="000000"/>
                                          <w:bottom w:val="single" w:sz="2" w:space="0" w:color="000000"/>
                                          <w:right w:val="single" w:sz="2" w:space="0" w:color="000000"/>
                                        </w:tcBorders>
                                      </w:tcPr>
                                      <w:p w14:paraId="37D1A65E" w14:textId="77777777" w:rsidR="00332D56" w:rsidRDefault="00332D56" w:rsidP="001C22CF">
                                        <w:pPr>
                                          <w:spacing w:line="259" w:lineRule="auto"/>
                                          <w:ind w:left="0" w:right="0" w:firstLine="0"/>
                                          <w:suppressOverlap/>
                                          <w:jc w:val="left"/>
                                        </w:pPr>
                                        <w:r>
                                          <w:t>1 week</w:t>
                                        </w:r>
                                      </w:p>
                                    </w:tc>
                                  </w:tr>
                                </w:tbl>
                                <w:p w14:paraId="660F8211" w14:textId="77777777" w:rsidR="00332D56" w:rsidRDefault="00332D56" w:rsidP="001C22CF">
                                  <w:pPr>
                                    <w:spacing w:after="160" w:line="259" w:lineRule="auto"/>
                                    <w:ind w:left="0" w:right="0" w:firstLine="0"/>
                                    <w:suppressOverlap/>
                                    <w:jc w:val="left"/>
                                  </w:pPr>
                                </w:p>
                              </w:tc>
                            </w:tr>
                            <w:tr w:rsidR="00332D56" w14:paraId="3B155B5A" w14:textId="77777777" w:rsidTr="001A5781">
                              <w:trPr>
                                <w:trHeight w:val="2520"/>
                              </w:trPr>
                              <w:tc>
                                <w:tcPr>
                                  <w:tcW w:w="1239" w:type="dxa"/>
                                  <w:tcBorders>
                                    <w:top w:val="nil"/>
                                    <w:left w:val="nil"/>
                                    <w:bottom w:val="nil"/>
                                    <w:right w:val="nil"/>
                                  </w:tcBorders>
                                </w:tcPr>
                                <w:p w14:paraId="4EB3B6C6" w14:textId="77777777" w:rsidR="00332D56" w:rsidRDefault="00332D56" w:rsidP="001C22CF">
                                  <w:pPr>
                                    <w:spacing w:line="259" w:lineRule="auto"/>
                                    <w:ind w:left="-6286" w:right="31" w:firstLine="0"/>
                                    <w:suppressOverlap/>
                                    <w:jc w:val="left"/>
                                  </w:pPr>
                                </w:p>
                                <w:tbl>
                                  <w:tblPr>
                                    <w:tblStyle w:val="TableGrid"/>
                                    <w:tblW w:w="1450" w:type="dxa"/>
                                    <w:tblInd w:w="107" w:type="dxa"/>
                                    <w:tblCellMar>
                                      <w:top w:w="574" w:type="dxa"/>
                                      <w:left w:w="115" w:type="dxa"/>
                                      <w:right w:w="115" w:type="dxa"/>
                                    </w:tblCellMar>
                                    <w:tblLook w:val="04A0" w:firstRow="1" w:lastRow="0" w:firstColumn="1" w:lastColumn="0" w:noHBand="0" w:noVBand="1"/>
                                  </w:tblPr>
                                  <w:tblGrid>
                                    <w:gridCol w:w="1450"/>
                                  </w:tblGrid>
                                  <w:tr w:rsidR="00332D56" w14:paraId="0DDDB6B4" w14:textId="77777777" w:rsidTr="00F150DD">
                                    <w:trPr>
                                      <w:trHeight w:val="1556"/>
                                    </w:trPr>
                                    <w:tc>
                                      <w:tcPr>
                                        <w:tcW w:w="1450" w:type="dxa"/>
                                        <w:tcBorders>
                                          <w:top w:val="single" w:sz="2" w:space="0" w:color="000000"/>
                                          <w:left w:val="single" w:sz="2" w:space="0" w:color="000000"/>
                                          <w:bottom w:val="single" w:sz="2" w:space="0" w:color="000000"/>
                                          <w:right w:val="single" w:sz="2" w:space="0" w:color="000000"/>
                                        </w:tcBorders>
                                      </w:tcPr>
                                      <w:p w14:paraId="5F77B167" w14:textId="77777777" w:rsidR="00332D56" w:rsidRDefault="00332D56" w:rsidP="001C22CF">
                                        <w:pPr>
                                          <w:spacing w:line="259" w:lineRule="auto"/>
                                          <w:ind w:left="0" w:right="23" w:firstLine="0"/>
                                          <w:suppressOverlap/>
                                          <w:jc w:val="center"/>
                                        </w:pPr>
                                        <w:r>
                                          <w:t>2 weeks</w:t>
                                        </w:r>
                                      </w:p>
                                    </w:tc>
                                  </w:tr>
                                </w:tbl>
                                <w:p w14:paraId="0DB6DBA7" w14:textId="77777777" w:rsidR="00332D56" w:rsidRDefault="00332D56" w:rsidP="001C22CF">
                                  <w:pPr>
                                    <w:spacing w:after="160" w:line="259" w:lineRule="auto"/>
                                    <w:ind w:left="0" w:right="0" w:firstLine="0"/>
                                    <w:suppressOverlap/>
                                    <w:jc w:val="left"/>
                                  </w:pPr>
                                </w:p>
                              </w:tc>
                            </w:tr>
                            <w:tr w:rsidR="00332D56" w14:paraId="06FF5A87" w14:textId="77777777" w:rsidTr="001A5781">
                              <w:trPr>
                                <w:trHeight w:val="1896"/>
                              </w:trPr>
                              <w:tc>
                                <w:tcPr>
                                  <w:tcW w:w="1239" w:type="dxa"/>
                                  <w:tcBorders>
                                    <w:top w:val="nil"/>
                                    <w:left w:val="nil"/>
                                    <w:bottom w:val="nil"/>
                                    <w:right w:val="nil"/>
                                  </w:tcBorders>
                                </w:tcPr>
                                <w:p w14:paraId="3D5E62B0" w14:textId="77777777" w:rsidR="00332D56" w:rsidRDefault="00332D56" w:rsidP="001C22CF">
                                  <w:pPr>
                                    <w:spacing w:line="259" w:lineRule="auto"/>
                                    <w:ind w:left="-6286" w:right="7525" w:firstLine="0"/>
                                    <w:suppressOverlap/>
                                    <w:jc w:val="left"/>
                                  </w:pPr>
                                </w:p>
                                <w:tbl>
                                  <w:tblPr>
                                    <w:tblStyle w:val="TableGrid"/>
                                    <w:tblW w:w="1118" w:type="dxa"/>
                                    <w:tblInd w:w="120" w:type="dxa"/>
                                    <w:tblCellMar>
                                      <w:top w:w="568" w:type="dxa"/>
                                      <w:left w:w="115" w:type="dxa"/>
                                      <w:right w:w="115" w:type="dxa"/>
                                    </w:tblCellMar>
                                    <w:tblLook w:val="04A0" w:firstRow="1" w:lastRow="0" w:firstColumn="1" w:lastColumn="0" w:noHBand="0" w:noVBand="1"/>
                                  </w:tblPr>
                                  <w:tblGrid>
                                    <w:gridCol w:w="1118"/>
                                  </w:tblGrid>
                                  <w:tr w:rsidR="00332D56" w14:paraId="45ABB298" w14:textId="77777777" w:rsidTr="00F150DD">
                                    <w:trPr>
                                      <w:trHeight w:val="421"/>
                                    </w:trPr>
                                    <w:tc>
                                      <w:tcPr>
                                        <w:tcW w:w="1118" w:type="dxa"/>
                                        <w:tcBorders>
                                          <w:top w:val="single" w:sz="2" w:space="0" w:color="000000"/>
                                          <w:left w:val="single" w:sz="2" w:space="0" w:color="000000"/>
                                          <w:bottom w:val="single" w:sz="2" w:space="0" w:color="000000"/>
                                          <w:right w:val="single" w:sz="2" w:space="0" w:color="000000"/>
                                        </w:tcBorders>
                                      </w:tcPr>
                                      <w:p w14:paraId="68FCCF5B" w14:textId="77777777" w:rsidR="00332D56" w:rsidRDefault="00332D56" w:rsidP="001C22CF">
                                        <w:pPr>
                                          <w:spacing w:line="259" w:lineRule="auto"/>
                                          <w:ind w:left="0" w:right="43" w:firstLine="0"/>
                                          <w:suppressOverlap/>
                                          <w:jc w:val="center"/>
                                        </w:pPr>
                                        <w:r>
                                          <w:t>2 weeks</w:t>
                                        </w:r>
                                      </w:p>
                                    </w:tc>
                                  </w:tr>
                                </w:tbl>
                                <w:p w14:paraId="66EF5792" w14:textId="77777777" w:rsidR="00332D56" w:rsidRDefault="00332D56" w:rsidP="001C22CF">
                                  <w:pPr>
                                    <w:spacing w:after="160" w:line="259" w:lineRule="auto"/>
                                    <w:ind w:left="0" w:right="0" w:firstLine="0"/>
                                    <w:suppressOverlap/>
                                    <w:jc w:val="left"/>
                                  </w:pPr>
                                </w:p>
                              </w:tc>
                            </w:tr>
                            <w:tr w:rsidR="00332D56" w14:paraId="6381E681" w14:textId="77777777" w:rsidTr="001A5781">
                              <w:trPr>
                                <w:trHeight w:val="673"/>
                              </w:trPr>
                              <w:tc>
                                <w:tcPr>
                                  <w:tcW w:w="1239" w:type="dxa"/>
                                  <w:tcBorders>
                                    <w:top w:val="nil"/>
                                    <w:left w:val="nil"/>
                                    <w:bottom w:val="nil"/>
                                    <w:right w:val="nil"/>
                                  </w:tcBorders>
                                  <w:vAlign w:val="center"/>
                                </w:tcPr>
                                <w:p w14:paraId="0D40A265" w14:textId="77777777" w:rsidR="00332D56" w:rsidRDefault="00332D56" w:rsidP="001C22CF">
                                  <w:pPr>
                                    <w:spacing w:line="259" w:lineRule="auto"/>
                                    <w:ind w:left="-6286" w:right="12" w:firstLine="0"/>
                                    <w:suppressOverlap/>
                                    <w:jc w:val="left"/>
                                  </w:pPr>
                                </w:p>
                                <w:tbl>
                                  <w:tblPr>
                                    <w:tblStyle w:val="TableGrid"/>
                                    <w:tblW w:w="1584" w:type="dxa"/>
                                    <w:tblInd w:w="114" w:type="dxa"/>
                                    <w:tblCellMar>
                                      <w:left w:w="173" w:type="dxa"/>
                                      <w:bottom w:w="37" w:type="dxa"/>
                                      <w:right w:w="115" w:type="dxa"/>
                                    </w:tblCellMar>
                                    <w:tblLook w:val="04A0" w:firstRow="1" w:lastRow="0" w:firstColumn="1" w:lastColumn="0" w:noHBand="0" w:noVBand="1"/>
                                  </w:tblPr>
                                  <w:tblGrid>
                                    <w:gridCol w:w="1584"/>
                                  </w:tblGrid>
                                  <w:tr w:rsidR="00332D56" w14:paraId="15301D92" w14:textId="77777777" w:rsidTr="00F150DD">
                                    <w:trPr>
                                      <w:trHeight w:val="371"/>
                                    </w:trPr>
                                    <w:tc>
                                      <w:tcPr>
                                        <w:tcW w:w="1584" w:type="dxa"/>
                                        <w:tcBorders>
                                          <w:top w:val="single" w:sz="2" w:space="0" w:color="000000"/>
                                          <w:left w:val="single" w:sz="2" w:space="0" w:color="000000"/>
                                          <w:bottom w:val="single" w:sz="2" w:space="0" w:color="000000"/>
                                          <w:right w:val="single" w:sz="2" w:space="0" w:color="000000"/>
                                        </w:tcBorders>
                                        <w:vAlign w:val="bottom"/>
                                      </w:tcPr>
                                      <w:p w14:paraId="03A2BCC2" w14:textId="77777777" w:rsidR="00332D56" w:rsidRDefault="00332D56" w:rsidP="001C22CF">
                                        <w:pPr>
                                          <w:spacing w:line="259" w:lineRule="auto"/>
                                          <w:ind w:left="0" w:right="0" w:firstLine="0"/>
                                          <w:suppressOverlap/>
                                          <w:jc w:val="left"/>
                                        </w:pPr>
                                        <w:r>
                                          <w:t>3  months</w:t>
                                        </w:r>
                                      </w:p>
                                    </w:tc>
                                  </w:tr>
                                </w:tbl>
                                <w:p w14:paraId="71EB1B44" w14:textId="77777777" w:rsidR="00332D56" w:rsidRDefault="00332D56" w:rsidP="001C22CF">
                                  <w:pPr>
                                    <w:spacing w:after="160" w:line="259" w:lineRule="auto"/>
                                    <w:ind w:left="0" w:right="0" w:firstLine="0"/>
                                    <w:suppressOverlap/>
                                    <w:jc w:val="left"/>
                                  </w:pPr>
                                </w:p>
                              </w:tc>
                            </w:tr>
                          </w:tbl>
                          <w:p w14:paraId="0974C4CC" w14:textId="77777777" w:rsidR="00332D56" w:rsidRDefault="00332D56" w:rsidP="00332D56"/>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7B1E840D" id="_x0000_t202" coordsize="21600,21600" o:spt="202" path="m,l,21600r21600,l21600,xe">
                <v:stroke joinstyle="miter"/>
                <v:path gradientshapeok="t" o:connecttype="rect"/>
              </v:shapetype>
              <v:shape id="Text Box 1" o:spid="_x0000_s1026" type="#_x0000_t202" style="position:absolute;left:0;text-align:left;margin-left:143.25pt;margin-top:.75pt;width:180.4pt;height:397.5pt;z-index:25165926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" stroked="f">
                <v:textbox>
                  <w:txbxContent>
                    <w:tbl>
                      <w:tblPr>
                        <w:tblStyle w:val="TableGrid"/>
                        <w:tblOverlap w:val="never"/>
                        <w:tblW w:w="3917" w:type="dxa"/>
                        <w:tblInd w:w="0" w:type="dxa"/>
                        <w:tblLook w:val="04A0" w:firstRow="1" w:lastRow="0" w:firstColumn="1" w:lastColumn="0" w:noHBand="0" w:noVBand="1"/>
                      </w:tblPr>
                      <w:tblGrid>
                        <w:gridCol w:w="7525"/>
                      </w:tblGrid>
                      <w:tr w:rsidR="00332D56" w14:paraId="7BFDB272" w14:textId="77777777" w:rsidTr="001A5781">
                        <w:trPr>
                          <w:trHeight w:val="2680"/>
                        </w:trPr>
                        <w:tc>
                          <w:tcPr>
                            <w:tcW w:w="1239" w:type="dxa"/>
                            <w:tcBorders>
                              <w:top w:val="nil"/>
                              <w:left w:val="nil"/>
                              <w:bottom w:val="nil"/>
                              <w:right w:val="nil"/>
                            </w:tcBorders>
                          </w:tcPr>
                          <w:p w14:paraId="78E6582D" w14:textId="77777777" w:rsidR="00332D56" w:rsidRDefault="00332D56" w:rsidP="001C22CF">
                            <w:pPr>
                              <w:spacing w:line="259" w:lineRule="auto"/>
                              <w:ind w:left="-6286" w:right="31" w:firstLine="0"/>
                              <w:suppressOverlap/>
                              <w:jc w:val="left"/>
                            </w:pPr>
                          </w:p>
                          <w:tbl>
                            <w:tblPr>
                              <w:tblStyle w:val="TableGrid"/>
                              <w:tblW w:w="1112" w:type="dxa"/>
                              <w:tblInd w:w="96" w:type="dxa"/>
                              <w:tblCellMar>
                                <w:top w:w="136" w:type="dxa"/>
                                <w:left w:w="179" w:type="dxa"/>
                                <w:right w:w="115" w:type="dxa"/>
                              </w:tblCellMar>
                              <w:tblLook w:val="04A0" w:firstRow="1" w:lastRow="0" w:firstColumn="1" w:lastColumn="0" w:noHBand="0" w:noVBand="1"/>
                            </w:tblPr>
                            <w:tblGrid>
                              <w:gridCol w:w="1112"/>
                            </w:tblGrid>
                            <w:tr w:rsidR="00332D56" w14:paraId="00E82CE8" w14:textId="77777777" w:rsidTr="001A5781">
                              <w:trPr>
                                <w:trHeight w:val="753"/>
                              </w:trPr>
                              <w:tc>
                                <w:tcPr>
                                  <w:tcW w:w="1112" w:type="dxa"/>
                                  <w:tcBorders>
                                    <w:top w:val="single" w:sz="2" w:space="0" w:color="000000"/>
                                    <w:left w:val="single" w:sz="2" w:space="0" w:color="000000"/>
                                    <w:bottom w:val="single" w:sz="2" w:space="0" w:color="000000"/>
                                    <w:right w:val="single" w:sz="2" w:space="0" w:color="000000"/>
                                  </w:tcBorders>
                                </w:tcPr>
                                <w:p w14:paraId="37D1A65E" w14:textId="77777777" w:rsidR="00332D56" w:rsidRDefault="00332D56" w:rsidP="001C22CF">
                                  <w:pPr>
                                    <w:spacing w:line="259" w:lineRule="auto"/>
                                    <w:ind w:left="0" w:right="0" w:firstLine="0"/>
                                    <w:suppressOverlap/>
                                    <w:jc w:val="left"/>
                                  </w:pPr>
                                  <w:r>
                                    <w:t>1 week</w:t>
                                  </w:r>
                                </w:p>
                              </w:tc>
                            </w:tr>
                          </w:tbl>
                          <w:p w14:paraId="660F8211" w14:textId="77777777" w:rsidR="00332D56" w:rsidRDefault="00332D56" w:rsidP="001C22CF">
                            <w:pPr>
                              <w:spacing w:after="160" w:line="259" w:lineRule="auto"/>
                              <w:ind w:left="0" w:right="0" w:firstLine="0"/>
                              <w:suppressOverlap/>
                              <w:jc w:val="left"/>
                            </w:pPr>
                          </w:p>
                        </w:tc>
                      </w:tr>
                      <w:tr w:rsidR="00332D56" w14:paraId="3B155B5A" w14:textId="77777777" w:rsidTr="001A5781">
                        <w:trPr>
                          <w:trHeight w:val="2520"/>
                        </w:trPr>
                        <w:tc>
                          <w:tcPr>
                            <w:tcW w:w="1239" w:type="dxa"/>
                            <w:tcBorders>
                              <w:top w:val="nil"/>
                              <w:left w:val="nil"/>
                              <w:bottom w:val="nil"/>
                              <w:right w:val="nil"/>
                            </w:tcBorders>
                          </w:tcPr>
                          <w:p w14:paraId="4EB3B6C6" w14:textId="77777777" w:rsidR="00332D56" w:rsidRDefault="00332D56" w:rsidP="001C22CF">
                            <w:pPr>
                              <w:spacing w:line="259" w:lineRule="auto"/>
                              <w:ind w:left="-6286" w:right="31" w:firstLine="0"/>
                              <w:suppressOverlap/>
                              <w:jc w:val="left"/>
                            </w:pPr>
                          </w:p>
                          <w:tbl>
                            <w:tblPr>
                              <w:tblStyle w:val="TableGrid"/>
                              <w:tblW w:w="1450" w:type="dxa"/>
                              <w:tblInd w:w="107" w:type="dxa"/>
                              <w:tblCellMar>
                                <w:top w:w="574" w:type="dxa"/>
                                <w:left w:w="115" w:type="dxa"/>
                                <w:right w:w="115" w:type="dxa"/>
                              </w:tblCellMar>
                              <w:tblLook w:val="04A0" w:firstRow="1" w:lastRow="0" w:firstColumn="1" w:lastColumn="0" w:noHBand="0" w:noVBand="1"/>
                            </w:tblPr>
                            <w:tblGrid>
                              <w:gridCol w:w="1450"/>
                            </w:tblGrid>
                            <w:tr w:rsidR="00332D56" w14:paraId="0DDDB6B4" w14:textId="77777777" w:rsidTr="00F150DD">
                              <w:trPr>
                                <w:trHeight w:val="1556"/>
                              </w:trPr>
                              <w:tc>
                                <w:tcPr>
                                  <w:tcW w:w="1450" w:type="dxa"/>
                                  <w:tcBorders>
                                    <w:top w:val="single" w:sz="2" w:space="0" w:color="000000"/>
                                    <w:left w:val="single" w:sz="2" w:space="0" w:color="000000"/>
                                    <w:bottom w:val="single" w:sz="2" w:space="0" w:color="000000"/>
                                    <w:right w:val="single" w:sz="2" w:space="0" w:color="000000"/>
                                  </w:tcBorders>
                                </w:tcPr>
                                <w:p w14:paraId="5F77B167" w14:textId="77777777" w:rsidR="00332D56" w:rsidRDefault="00332D56" w:rsidP="001C22CF">
                                  <w:pPr>
                                    <w:spacing w:line="259" w:lineRule="auto"/>
                                    <w:ind w:left="0" w:right="23" w:firstLine="0"/>
                                    <w:suppressOverlap/>
                                    <w:jc w:val="center"/>
                                  </w:pPr>
                                  <w:r>
                                    <w:t>2 weeks</w:t>
                                  </w:r>
                                </w:p>
                              </w:tc>
                            </w:tr>
                          </w:tbl>
                          <w:p w14:paraId="0DB6DBA7" w14:textId="77777777" w:rsidR="00332D56" w:rsidRDefault="00332D56" w:rsidP="001C22CF">
                            <w:pPr>
                              <w:spacing w:after="160" w:line="259" w:lineRule="auto"/>
                              <w:ind w:left="0" w:right="0" w:firstLine="0"/>
                              <w:suppressOverlap/>
                              <w:jc w:val="left"/>
                            </w:pPr>
                          </w:p>
                        </w:tc>
                      </w:tr>
                      <w:tr w:rsidR="00332D56" w14:paraId="06FF5A87" w14:textId="77777777" w:rsidTr="001A5781">
                        <w:trPr>
                          <w:trHeight w:val="1896"/>
                        </w:trPr>
                        <w:tc>
                          <w:tcPr>
                            <w:tcW w:w="1239" w:type="dxa"/>
                            <w:tcBorders>
                              <w:top w:val="nil"/>
                              <w:left w:val="nil"/>
                              <w:bottom w:val="nil"/>
                              <w:right w:val="nil"/>
                            </w:tcBorders>
                          </w:tcPr>
                          <w:p w14:paraId="3D5E62B0" w14:textId="77777777" w:rsidR="00332D56" w:rsidRDefault="00332D56" w:rsidP="001C22CF">
                            <w:pPr>
                              <w:spacing w:line="259" w:lineRule="auto"/>
                              <w:ind w:left="-6286" w:right="7525" w:firstLine="0"/>
                              <w:suppressOverlap/>
                              <w:jc w:val="left"/>
                            </w:pPr>
                          </w:p>
                          <w:tbl>
                            <w:tblPr>
                              <w:tblStyle w:val="TableGrid"/>
                              <w:tblW w:w="1118" w:type="dxa"/>
                              <w:tblInd w:w="120" w:type="dxa"/>
                              <w:tblCellMar>
                                <w:top w:w="568" w:type="dxa"/>
                                <w:left w:w="115" w:type="dxa"/>
                                <w:right w:w="115" w:type="dxa"/>
                              </w:tblCellMar>
                              <w:tblLook w:val="04A0" w:firstRow="1" w:lastRow="0" w:firstColumn="1" w:lastColumn="0" w:noHBand="0" w:noVBand="1"/>
                            </w:tblPr>
                            <w:tblGrid>
                              <w:gridCol w:w="1118"/>
                            </w:tblGrid>
                            <w:tr w:rsidR="00332D56" w14:paraId="45ABB298" w14:textId="77777777" w:rsidTr="00F150DD">
                              <w:trPr>
                                <w:trHeight w:val="421"/>
                              </w:trPr>
                              <w:tc>
                                <w:tcPr>
                                  <w:tcW w:w="1118" w:type="dxa"/>
                                  <w:tcBorders>
                                    <w:top w:val="single" w:sz="2" w:space="0" w:color="000000"/>
                                    <w:left w:val="single" w:sz="2" w:space="0" w:color="000000"/>
                                    <w:bottom w:val="single" w:sz="2" w:space="0" w:color="000000"/>
                                    <w:right w:val="single" w:sz="2" w:space="0" w:color="000000"/>
                                  </w:tcBorders>
                                </w:tcPr>
                                <w:p w14:paraId="68FCCF5B" w14:textId="77777777" w:rsidR="00332D56" w:rsidRDefault="00332D56" w:rsidP="001C22CF">
                                  <w:pPr>
                                    <w:spacing w:line="259" w:lineRule="auto"/>
                                    <w:ind w:left="0" w:right="43" w:firstLine="0"/>
                                    <w:suppressOverlap/>
                                    <w:jc w:val="center"/>
                                  </w:pPr>
                                  <w:r>
                                    <w:t>2 weeks</w:t>
                                  </w:r>
                                </w:p>
                              </w:tc>
                            </w:tr>
                          </w:tbl>
                          <w:p w14:paraId="66EF5792" w14:textId="77777777" w:rsidR="00332D56" w:rsidRDefault="00332D56" w:rsidP="001C22CF">
                            <w:pPr>
                              <w:spacing w:after="160" w:line="259" w:lineRule="auto"/>
                              <w:ind w:left="0" w:right="0" w:firstLine="0"/>
                              <w:suppressOverlap/>
                              <w:jc w:val="left"/>
                            </w:pPr>
                          </w:p>
                        </w:tc>
                      </w:tr>
                      <w:tr w:rsidR="00332D56" w14:paraId="6381E681" w14:textId="77777777" w:rsidTr="001A5781">
                        <w:trPr>
                          <w:trHeight w:val="673"/>
                        </w:trPr>
                        <w:tc>
                          <w:tcPr>
                            <w:tcW w:w="1239" w:type="dxa"/>
                            <w:tcBorders>
                              <w:top w:val="nil"/>
                              <w:left w:val="nil"/>
                              <w:bottom w:val="nil"/>
                              <w:right w:val="nil"/>
                            </w:tcBorders>
                            <w:vAlign w:val="center"/>
                          </w:tcPr>
                          <w:p w14:paraId="0D40A265" w14:textId="77777777" w:rsidR="00332D56" w:rsidRDefault="00332D56" w:rsidP="001C22CF">
                            <w:pPr>
                              <w:spacing w:line="259" w:lineRule="auto"/>
                              <w:ind w:left="-6286" w:right="12" w:firstLine="0"/>
                              <w:suppressOverlap/>
                              <w:jc w:val="left"/>
                            </w:pPr>
                          </w:p>
                          <w:tbl>
                            <w:tblPr>
                              <w:tblStyle w:val="TableGrid"/>
                              <w:tblW w:w="1584" w:type="dxa"/>
                              <w:tblInd w:w="114" w:type="dxa"/>
                              <w:tblCellMar>
                                <w:left w:w="173" w:type="dxa"/>
                                <w:bottom w:w="37" w:type="dxa"/>
                                <w:right w:w="115" w:type="dxa"/>
                              </w:tblCellMar>
                              <w:tblLook w:val="04A0" w:firstRow="1" w:lastRow="0" w:firstColumn="1" w:lastColumn="0" w:noHBand="0" w:noVBand="1"/>
                            </w:tblPr>
                            <w:tblGrid>
                              <w:gridCol w:w="1584"/>
                            </w:tblGrid>
                            <w:tr w:rsidR="00332D56" w14:paraId="15301D92" w14:textId="77777777" w:rsidTr="00F150DD">
                              <w:trPr>
                                <w:trHeight w:val="371"/>
                              </w:trPr>
                              <w:tc>
                                <w:tcPr>
                                  <w:tcW w:w="1584" w:type="dxa"/>
                                  <w:tcBorders>
                                    <w:top w:val="single" w:sz="2" w:space="0" w:color="000000"/>
                                    <w:left w:val="single" w:sz="2" w:space="0" w:color="000000"/>
                                    <w:bottom w:val="single" w:sz="2" w:space="0" w:color="000000"/>
                                    <w:right w:val="single" w:sz="2" w:space="0" w:color="000000"/>
                                  </w:tcBorders>
                                  <w:vAlign w:val="bottom"/>
                                </w:tcPr>
                                <w:p w14:paraId="03A2BCC2" w14:textId="77777777" w:rsidR="00332D56" w:rsidRDefault="00332D56" w:rsidP="001C22CF">
                                  <w:pPr>
                                    <w:spacing w:line="259" w:lineRule="auto"/>
                                    <w:ind w:left="0" w:right="0" w:firstLine="0"/>
                                    <w:suppressOverlap/>
                                    <w:jc w:val="left"/>
                                  </w:pPr>
                                  <w:r>
                                    <w:t>3  months</w:t>
                                  </w:r>
                                </w:p>
                              </w:tc>
                            </w:tr>
                          </w:tbl>
                          <w:p w14:paraId="71EB1B44" w14:textId="77777777" w:rsidR="00332D56" w:rsidRDefault="00332D56" w:rsidP="001C22CF">
                            <w:pPr>
                              <w:spacing w:after="160" w:line="259" w:lineRule="auto"/>
                              <w:ind w:left="0" w:right="0" w:firstLine="0"/>
                              <w:suppressOverlap/>
                              <w:jc w:val="left"/>
                            </w:pPr>
                          </w:p>
                        </w:tc>
                      </w:tr>
                    </w:tbl>
                    <w:p w14:paraId="0974C4CC" w14:textId="77777777" w:rsidR="00332D56" w:rsidRDefault="00332D56" w:rsidP="00332D56"/>
                  </w:txbxContent>
                </v:textbox>
                <w10:wrap type="square"/>
              </v:shape>
            </w:pict>
          </mc:Fallback>
        </mc:AlternateContent>
      </w:r>
      <w:r w:rsidR="00332D56">
        <w:rPr>
          <w:noProof/>
        </w:rPr>
        <w:drawing>
          <wp:inline distT="0" distB="0" distL="0" distR="0" wp14:anchorId="5A7F118A" wp14:editId="57D0C6A7">
            <wp:extent cx="1639786" cy="4933239"/>
            <wp:effectExtent l="0" t="0" r="0" b="0"/>
            <wp:docPr id="3213" name="Picture 3213" descr="A diagram of steps to prepare papers&#10;&#10;Description automatically generated"/>
            <wp:cNvGraphicFramePr/>
            <a:graphic xmlns:a="http://schemas.openxmlformats.org/drawingml/2006/main">
              <a:graphicData uri="http://schemas.openxmlformats.org/drawingml/2006/picture">
                <pic:pic xmlns:pic="http://schemas.openxmlformats.org/drawingml/2006/picture">
                  <pic:nvPicPr>
                    <pic:cNvPr id="3213" name="Picture 3213" descr="A diagram of steps to prepare papers&#10;&#10;Description automatically generated"/>
                    <pic:cNvPicPr/>
                  </pic:nvPicPr>
                  <pic:blipFill>
                    <a:blip r:embed="rId8"/>
                    <a:stretch>
                      <a:fillRect/>
                    </a:stretch>
                  </pic:blipFill>
                  <pic:spPr>
                    <a:xfrm>
                      <a:off x="0" y="0"/>
                      <a:ext cx="1639786" cy="4933239"/>
                    </a:xfrm>
                    <a:prstGeom prst="rect">
                      <a:avLst/>
                    </a:prstGeom>
                  </pic:spPr>
                </pic:pic>
              </a:graphicData>
            </a:graphic>
          </wp:inline>
        </w:drawing>
      </w:r>
    </w:p>
    <w:p w14:paraId="45CE4665" w14:textId="77777777" w:rsidR="00332D56" w:rsidRDefault="00332D56" w:rsidP="00332D56"/>
    <w:p w14:paraId="79E2E64B" w14:textId="16F26BB8" w:rsidR="00A1339F" w:rsidRDefault="00A1339F" w:rsidP="004E5C81">
      <w:pPr>
        <w:ind w:left="284" w:right="-46" w:firstLine="0"/>
      </w:pPr>
    </w:p>
    <w:sectPr w:rsidR="00A1339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E7C672" w14:textId="77777777" w:rsidR="00B10581" w:rsidRDefault="00B10581" w:rsidP="00B10581">
      <w:pPr>
        <w:spacing w:line="240" w:lineRule="auto"/>
      </w:pPr>
      <w:r>
        <w:separator/>
      </w:r>
    </w:p>
  </w:endnote>
  <w:endnote w:type="continuationSeparator" w:id="0">
    <w:p w14:paraId="42C2639A" w14:textId="77777777" w:rsidR="00B10581" w:rsidRDefault="00B10581" w:rsidP="00B1058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A74CFD" w14:textId="77777777" w:rsidR="00B10581" w:rsidRDefault="00B10581" w:rsidP="00B10581">
      <w:pPr>
        <w:spacing w:line="240" w:lineRule="auto"/>
      </w:pPr>
      <w:r>
        <w:separator/>
      </w:r>
    </w:p>
  </w:footnote>
  <w:footnote w:type="continuationSeparator" w:id="0">
    <w:p w14:paraId="6A863353" w14:textId="77777777" w:rsidR="00B10581" w:rsidRDefault="00B10581" w:rsidP="00B1058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7508E8"/>
    <w:multiLevelType w:val="hybridMultilevel"/>
    <w:tmpl w:val="A112C22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52C05CCD"/>
    <w:multiLevelType w:val="hybridMultilevel"/>
    <w:tmpl w:val="075CBB90"/>
    <w:lvl w:ilvl="0" w:tplc="6F522E28">
      <w:numFmt w:val="bullet"/>
      <w:lvlText w:val=""/>
      <w:lvlJc w:val="left"/>
      <w:pPr>
        <w:ind w:left="644" w:hanging="360"/>
      </w:pPr>
      <w:rPr>
        <w:rFonts w:ascii="Symbol" w:eastAsia="Calibri" w:hAnsi="Symbol" w:cs="Calibri" w:hint="default"/>
      </w:rPr>
    </w:lvl>
    <w:lvl w:ilvl="1" w:tplc="18090003" w:tentative="1">
      <w:start w:val="1"/>
      <w:numFmt w:val="bullet"/>
      <w:lvlText w:val="o"/>
      <w:lvlJc w:val="left"/>
      <w:pPr>
        <w:ind w:left="1364" w:hanging="360"/>
      </w:pPr>
      <w:rPr>
        <w:rFonts w:ascii="Courier New" w:hAnsi="Courier New" w:cs="Courier New" w:hint="default"/>
      </w:rPr>
    </w:lvl>
    <w:lvl w:ilvl="2" w:tplc="18090005" w:tentative="1">
      <w:start w:val="1"/>
      <w:numFmt w:val="bullet"/>
      <w:lvlText w:val=""/>
      <w:lvlJc w:val="left"/>
      <w:pPr>
        <w:ind w:left="2084" w:hanging="360"/>
      </w:pPr>
      <w:rPr>
        <w:rFonts w:ascii="Wingdings" w:hAnsi="Wingdings" w:hint="default"/>
      </w:rPr>
    </w:lvl>
    <w:lvl w:ilvl="3" w:tplc="18090001" w:tentative="1">
      <w:start w:val="1"/>
      <w:numFmt w:val="bullet"/>
      <w:lvlText w:val=""/>
      <w:lvlJc w:val="left"/>
      <w:pPr>
        <w:ind w:left="2804" w:hanging="360"/>
      </w:pPr>
      <w:rPr>
        <w:rFonts w:ascii="Symbol" w:hAnsi="Symbol" w:hint="default"/>
      </w:rPr>
    </w:lvl>
    <w:lvl w:ilvl="4" w:tplc="18090003" w:tentative="1">
      <w:start w:val="1"/>
      <w:numFmt w:val="bullet"/>
      <w:lvlText w:val="o"/>
      <w:lvlJc w:val="left"/>
      <w:pPr>
        <w:ind w:left="3524" w:hanging="360"/>
      </w:pPr>
      <w:rPr>
        <w:rFonts w:ascii="Courier New" w:hAnsi="Courier New" w:cs="Courier New" w:hint="default"/>
      </w:rPr>
    </w:lvl>
    <w:lvl w:ilvl="5" w:tplc="18090005" w:tentative="1">
      <w:start w:val="1"/>
      <w:numFmt w:val="bullet"/>
      <w:lvlText w:val=""/>
      <w:lvlJc w:val="left"/>
      <w:pPr>
        <w:ind w:left="4244" w:hanging="360"/>
      </w:pPr>
      <w:rPr>
        <w:rFonts w:ascii="Wingdings" w:hAnsi="Wingdings" w:hint="default"/>
      </w:rPr>
    </w:lvl>
    <w:lvl w:ilvl="6" w:tplc="18090001" w:tentative="1">
      <w:start w:val="1"/>
      <w:numFmt w:val="bullet"/>
      <w:lvlText w:val=""/>
      <w:lvlJc w:val="left"/>
      <w:pPr>
        <w:ind w:left="4964" w:hanging="360"/>
      </w:pPr>
      <w:rPr>
        <w:rFonts w:ascii="Symbol" w:hAnsi="Symbol" w:hint="default"/>
      </w:rPr>
    </w:lvl>
    <w:lvl w:ilvl="7" w:tplc="18090003" w:tentative="1">
      <w:start w:val="1"/>
      <w:numFmt w:val="bullet"/>
      <w:lvlText w:val="o"/>
      <w:lvlJc w:val="left"/>
      <w:pPr>
        <w:ind w:left="5684" w:hanging="360"/>
      </w:pPr>
      <w:rPr>
        <w:rFonts w:ascii="Courier New" w:hAnsi="Courier New" w:cs="Courier New" w:hint="default"/>
      </w:rPr>
    </w:lvl>
    <w:lvl w:ilvl="8" w:tplc="18090005" w:tentative="1">
      <w:start w:val="1"/>
      <w:numFmt w:val="bullet"/>
      <w:lvlText w:val=""/>
      <w:lvlJc w:val="left"/>
      <w:pPr>
        <w:ind w:left="6404" w:hanging="360"/>
      </w:pPr>
      <w:rPr>
        <w:rFonts w:ascii="Wingdings" w:hAnsi="Wingdings" w:hint="default"/>
      </w:rPr>
    </w:lvl>
  </w:abstractNum>
  <w:abstractNum w:abstractNumId="2" w15:restartNumberingAfterBreak="0">
    <w:nsid w:val="55794A0A"/>
    <w:multiLevelType w:val="hybridMultilevel"/>
    <w:tmpl w:val="4034789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570B7F68"/>
    <w:multiLevelType w:val="hybridMultilevel"/>
    <w:tmpl w:val="188AA4FA"/>
    <w:lvl w:ilvl="0" w:tplc="18090001">
      <w:start w:val="1"/>
      <w:numFmt w:val="bullet"/>
      <w:lvlText w:val=""/>
      <w:lvlJc w:val="left"/>
      <w:pPr>
        <w:ind w:left="1429" w:hanging="360"/>
      </w:pPr>
      <w:rPr>
        <w:rFonts w:ascii="Symbol" w:hAnsi="Symbol" w:hint="default"/>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4" w15:restartNumberingAfterBreak="0">
    <w:nsid w:val="57244FB9"/>
    <w:multiLevelType w:val="hybridMultilevel"/>
    <w:tmpl w:val="7382DB4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5F5B62D1"/>
    <w:multiLevelType w:val="hybridMultilevel"/>
    <w:tmpl w:val="4B8EE228"/>
    <w:lvl w:ilvl="0" w:tplc="1809000F">
      <w:start w:val="1"/>
      <w:numFmt w:val="decimal"/>
      <w:lvlText w:val="%1."/>
      <w:lvlJc w:val="left"/>
      <w:pPr>
        <w:ind w:left="1145" w:hanging="360"/>
      </w:pPr>
    </w:lvl>
    <w:lvl w:ilvl="1" w:tplc="18090019" w:tentative="1">
      <w:start w:val="1"/>
      <w:numFmt w:val="lowerLetter"/>
      <w:lvlText w:val="%2."/>
      <w:lvlJc w:val="left"/>
      <w:pPr>
        <w:ind w:left="1865" w:hanging="360"/>
      </w:pPr>
    </w:lvl>
    <w:lvl w:ilvl="2" w:tplc="1809001B" w:tentative="1">
      <w:start w:val="1"/>
      <w:numFmt w:val="lowerRoman"/>
      <w:lvlText w:val="%3."/>
      <w:lvlJc w:val="right"/>
      <w:pPr>
        <w:ind w:left="2585" w:hanging="180"/>
      </w:pPr>
    </w:lvl>
    <w:lvl w:ilvl="3" w:tplc="1809000F" w:tentative="1">
      <w:start w:val="1"/>
      <w:numFmt w:val="decimal"/>
      <w:lvlText w:val="%4."/>
      <w:lvlJc w:val="left"/>
      <w:pPr>
        <w:ind w:left="3305" w:hanging="360"/>
      </w:pPr>
    </w:lvl>
    <w:lvl w:ilvl="4" w:tplc="18090019" w:tentative="1">
      <w:start w:val="1"/>
      <w:numFmt w:val="lowerLetter"/>
      <w:lvlText w:val="%5."/>
      <w:lvlJc w:val="left"/>
      <w:pPr>
        <w:ind w:left="4025" w:hanging="360"/>
      </w:pPr>
    </w:lvl>
    <w:lvl w:ilvl="5" w:tplc="1809001B" w:tentative="1">
      <w:start w:val="1"/>
      <w:numFmt w:val="lowerRoman"/>
      <w:lvlText w:val="%6."/>
      <w:lvlJc w:val="right"/>
      <w:pPr>
        <w:ind w:left="4745" w:hanging="180"/>
      </w:pPr>
    </w:lvl>
    <w:lvl w:ilvl="6" w:tplc="1809000F" w:tentative="1">
      <w:start w:val="1"/>
      <w:numFmt w:val="decimal"/>
      <w:lvlText w:val="%7."/>
      <w:lvlJc w:val="left"/>
      <w:pPr>
        <w:ind w:left="5465" w:hanging="360"/>
      </w:pPr>
    </w:lvl>
    <w:lvl w:ilvl="7" w:tplc="18090019" w:tentative="1">
      <w:start w:val="1"/>
      <w:numFmt w:val="lowerLetter"/>
      <w:lvlText w:val="%8."/>
      <w:lvlJc w:val="left"/>
      <w:pPr>
        <w:ind w:left="6185" w:hanging="360"/>
      </w:pPr>
    </w:lvl>
    <w:lvl w:ilvl="8" w:tplc="1809001B" w:tentative="1">
      <w:start w:val="1"/>
      <w:numFmt w:val="lowerRoman"/>
      <w:lvlText w:val="%9."/>
      <w:lvlJc w:val="right"/>
      <w:pPr>
        <w:ind w:left="6905" w:hanging="180"/>
      </w:pPr>
    </w:lvl>
  </w:abstractNum>
  <w:abstractNum w:abstractNumId="6" w15:restartNumberingAfterBreak="0">
    <w:nsid w:val="62A05E3C"/>
    <w:multiLevelType w:val="hybridMultilevel"/>
    <w:tmpl w:val="D0B2DF02"/>
    <w:lvl w:ilvl="0" w:tplc="6CAA11A0">
      <w:start w:val="1"/>
      <w:numFmt w:val="decimal"/>
      <w:lvlText w:val="%1."/>
      <w:lvlJc w:val="left"/>
      <w:pPr>
        <w:ind w:left="1080" w:hanging="360"/>
      </w:p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7" w15:restartNumberingAfterBreak="0">
    <w:nsid w:val="63602E17"/>
    <w:multiLevelType w:val="hybridMultilevel"/>
    <w:tmpl w:val="E104F58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6C634DC9"/>
    <w:multiLevelType w:val="hybridMultilevel"/>
    <w:tmpl w:val="9C26EC06"/>
    <w:lvl w:ilvl="0" w:tplc="18090001">
      <w:start w:val="1"/>
      <w:numFmt w:val="bullet"/>
      <w:lvlText w:val=""/>
      <w:lvlJc w:val="left"/>
      <w:pPr>
        <w:ind w:left="2160" w:hanging="360"/>
      </w:pPr>
      <w:rPr>
        <w:rFonts w:ascii="Symbol" w:hAnsi="Symbol" w:hint="default"/>
      </w:rPr>
    </w:lvl>
    <w:lvl w:ilvl="1" w:tplc="18090003" w:tentative="1">
      <w:start w:val="1"/>
      <w:numFmt w:val="bullet"/>
      <w:lvlText w:val="o"/>
      <w:lvlJc w:val="left"/>
      <w:pPr>
        <w:ind w:left="2880" w:hanging="360"/>
      </w:pPr>
      <w:rPr>
        <w:rFonts w:ascii="Courier New" w:hAnsi="Courier New" w:cs="Courier New" w:hint="default"/>
      </w:rPr>
    </w:lvl>
    <w:lvl w:ilvl="2" w:tplc="18090005" w:tentative="1">
      <w:start w:val="1"/>
      <w:numFmt w:val="bullet"/>
      <w:lvlText w:val=""/>
      <w:lvlJc w:val="left"/>
      <w:pPr>
        <w:ind w:left="3600" w:hanging="360"/>
      </w:pPr>
      <w:rPr>
        <w:rFonts w:ascii="Wingdings" w:hAnsi="Wingdings" w:hint="default"/>
      </w:rPr>
    </w:lvl>
    <w:lvl w:ilvl="3" w:tplc="18090001" w:tentative="1">
      <w:start w:val="1"/>
      <w:numFmt w:val="bullet"/>
      <w:lvlText w:val=""/>
      <w:lvlJc w:val="left"/>
      <w:pPr>
        <w:ind w:left="4320" w:hanging="360"/>
      </w:pPr>
      <w:rPr>
        <w:rFonts w:ascii="Symbol" w:hAnsi="Symbol" w:hint="default"/>
      </w:rPr>
    </w:lvl>
    <w:lvl w:ilvl="4" w:tplc="18090003" w:tentative="1">
      <w:start w:val="1"/>
      <w:numFmt w:val="bullet"/>
      <w:lvlText w:val="o"/>
      <w:lvlJc w:val="left"/>
      <w:pPr>
        <w:ind w:left="5040" w:hanging="360"/>
      </w:pPr>
      <w:rPr>
        <w:rFonts w:ascii="Courier New" w:hAnsi="Courier New" w:cs="Courier New" w:hint="default"/>
      </w:rPr>
    </w:lvl>
    <w:lvl w:ilvl="5" w:tplc="18090005" w:tentative="1">
      <w:start w:val="1"/>
      <w:numFmt w:val="bullet"/>
      <w:lvlText w:val=""/>
      <w:lvlJc w:val="left"/>
      <w:pPr>
        <w:ind w:left="5760" w:hanging="360"/>
      </w:pPr>
      <w:rPr>
        <w:rFonts w:ascii="Wingdings" w:hAnsi="Wingdings" w:hint="default"/>
      </w:rPr>
    </w:lvl>
    <w:lvl w:ilvl="6" w:tplc="18090001" w:tentative="1">
      <w:start w:val="1"/>
      <w:numFmt w:val="bullet"/>
      <w:lvlText w:val=""/>
      <w:lvlJc w:val="left"/>
      <w:pPr>
        <w:ind w:left="6480" w:hanging="360"/>
      </w:pPr>
      <w:rPr>
        <w:rFonts w:ascii="Symbol" w:hAnsi="Symbol" w:hint="default"/>
      </w:rPr>
    </w:lvl>
    <w:lvl w:ilvl="7" w:tplc="18090003" w:tentative="1">
      <w:start w:val="1"/>
      <w:numFmt w:val="bullet"/>
      <w:lvlText w:val="o"/>
      <w:lvlJc w:val="left"/>
      <w:pPr>
        <w:ind w:left="7200" w:hanging="360"/>
      </w:pPr>
      <w:rPr>
        <w:rFonts w:ascii="Courier New" w:hAnsi="Courier New" w:cs="Courier New" w:hint="default"/>
      </w:rPr>
    </w:lvl>
    <w:lvl w:ilvl="8" w:tplc="18090005" w:tentative="1">
      <w:start w:val="1"/>
      <w:numFmt w:val="bullet"/>
      <w:lvlText w:val=""/>
      <w:lvlJc w:val="left"/>
      <w:pPr>
        <w:ind w:left="7920" w:hanging="360"/>
      </w:pPr>
      <w:rPr>
        <w:rFonts w:ascii="Wingdings" w:hAnsi="Wingdings" w:hint="default"/>
      </w:rPr>
    </w:lvl>
  </w:abstractNum>
  <w:abstractNum w:abstractNumId="9" w15:restartNumberingAfterBreak="0">
    <w:nsid w:val="6C6C2E76"/>
    <w:multiLevelType w:val="hybridMultilevel"/>
    <w:tmpl w:val="60CC0D7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251545453">
    <w:abstractNumId w:val="4"/>
  </w:num>
  <w:num w:numId="2" w16cid:durableId="1472941459">
    <w:abstractNumId w:val="2"/>
  </w:num>
  <w:num w:numId="3" w16cid:durableId="992372988">
    <w:abstractNumId w:val="9"/>
  </w:num>
  <w:num w:numId="4" w16cid:durableId="185992370">
    <w:abstractNumId w:val="6"/>
  </w:num>
  <w:num w:numId="5" w16cid:durableId="2056542720">
    <w:abstractNumId w:val="8"/>
  </w:num>
  <w:num w:numId="6" w16cid:durableId="79256277">
    <w:abstractNumId w:val="5"/>
  </w:num>
  <w:num w:numId="7" w16cid:durableId="7568227">
    <w:abstractNumId w:val="3"/>
  </w:num>
  <w:num w:numId="8" w16cid:durableId="536627288">
    <w:abstractNumId w:val="0"/>
  </w:num>
  <w:num w:numId="9" w16cid:durableId="1016426971">
    <w:abstractNumId w:val="1"/>
  </w:num>
  <w:num w:numId="10" w16cid:durableId="186092674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E27"/>
    <w:rsid w:val="0009176F"/>
    <w:rsid w:val="000C143B"/>
    <w:rsid w:val="000F2277"/>
    <w:rsid w:val="001235EA"/>
    <w:rsid w:val="00142DB0"/>
    <w:rsid w:val="00156980"/>
    <w:rsid w:val="00160CAA"/>
    <w:rsid w:val="001C22CF"/>
    <w:rsid w:val="001D05E3"/>
    <w:rsid w:val="001E50DC"/>
    <w:rsid w:val="001E5C6F"/>
    <w:rsid w:val="00270321"/>
    <w:rsid w:val="002C47EB"/>
    <w:rsid w:val="00326D18"/>
    <w:rsid w:val="00332D56"/>
    <w:rsid w:val="00361D7E"/>
    <w:rsid w:val="003E1759"/>
    <w:rsid w:val="004224D1"/>
    <w:rsid w:val="0044332B"/>
    <w:rsid w:val="00452F05"/>
    <w:rsid w:val="004E35DD"/>
    <w:rsid w:val="004E5C81"/>
    <w:rsid w:val="00522394"/>
    <w:rsid w:val="00595291"/>
    <w:rsid w:val="005A0A8D"/>
    <w:rsid w:val="005A1FF3"/>
    <w:rsid w:val="005C62E5"/>
    <w:rsid w:val="0065719C"/>
    <w:rsid w:val="00676FEA"/>
    <w:rsid w:val="006B1386"/>
    <w:rsid w:val="006C5384"/>
    <w:rsid w:val="00724E81"/>
    <w:rsid w:val="0073418B"/>
    <w:rsid w:val="00744513"/>
    <w:rsid w:val="00752EB2"/>
    <w:rsid w:val="00777C18"/>
    <w:rsid w:val="007A2E66"/>
    <w:rsid w:val="008221BA"/>
    <w:rsid w:val="008278C8"/>
    <w:rsid w:val="0084376E"/>
    <w:rsid w:val="008519A7"/>
    <w:rsid w:val="00885B89"/>
    <w:rsid w:val="008B31A2"/>
    <w:rsid w:val="008D624C"/>
    <w:rsid w:val="009201CF"/>
    <w:rsid w:val="00955D08"/>
    <w:rsid w:val="009609A9"/>
    <w:rsid w:val="0098480E"/>
    <w:rsid w:val="00991BD6"/>
    <w:rsid w:val="009E409A"/>
    <w:rsid w:val="00A1339F"/>
    <w:rsid w:val="00A82E0F"/>
    <w:rsid w:val="00AA68DB"/>
    <w:rsid w:val="00AB566F"/>
    <w:rsid w:val="00AC2B0C"/>
    <w:rsid w:val="00B10581"/>
    <w:rsid w:val="00B529BF"/>
    <w:rsid w:val="00B85027"/>
    <w:rsid w:val="00C04357"/>
    <w:rsid w:val="00C43D22"/>
    <w:rsid w:val="00CA20F0"/>
    <w:rsid w:val="00CB3B36"/>
    <w:rsid w:val="00CC59DA"/>
    <w:rsid w:val="00CE6D9B"/>
    <w:rsid w:val="00D4090B"/>
    <w:rsid w:val="00D47962"/>
    <w:rsid w:val="00D82C5A"/>
    <w:rsid w:val="00D9618C"/>
    <w:rsid w:val="00DA6EAD"/>
    <w:rsid w:val="00DC69BC"/>
    <w:rsid w:val="00DE5CF3"/>
    <w:rsid w:val="00E00890"/>
    <w:rsid w:val="00E60E54"/>
    <w:rsid w:val="00EF3AF6"/>
    <w:rsid w:val="00F25A61"/>
    <w:rsid w:val="00F32027"/>
    <w:rsid w:val="00F57E2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DE3F6"/>
  <w15:docId w15:val="{E59FD3CA-F7B9-45F2-B94B-9AB95829F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22CF"/>
    <w:pPr>
      <w:spacing w:after="0" w:line="254" w:lineRule="auto"/>
      <w:ind w:left="5300" w:right="2786" w:hanging="358"/>
      <w:jc w:val="both"/>
    </w:pPr>
    <w:rPr>
      <w:rFonts w:ascii="Calibri" w:eastAsia="Calibri" w:hAnsi="Calibri" w:cs="Calibri"/>
      <w:color w:val="000000"/>
      <w:sz w:val="24"/>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5291"/>
    <w:pPr>
      <w:spacing w:after="160" w:line="259" w:lineRule="auto"/>
      <w:ind w:left="720" w:right="0" w:firstLine="0"/>
      <w:contextualSpacing/>
      <w:jc w:val="left"/>
    </w:pPr>
    <w:rPr>
      <w:rFonts w:asciiTheme="minorHAnsi" w:eastAsiaTheme="minorHAnsi" w:hAnsiTheme="minorHAnsi" w:cstheme="minorBidi"/>
      <w:color w:val="auto"/>
      <w:sz w:val="22"/>
      <w:lang w:eastAsia="en-US"/>
    </w:rPr>
  </w:style>
  <w:style w:type="table" w:customStyle="1" w:styleId="TableGrid">
    <w:name w:val="TableGrid"/>
    <w:rsid w:val="001C22CF"/>
    <w:pPr>
      <w:spacing w:after="0" w:line="240" w:lineRule="auto"/>
    </w:pPr>
    <w:rPr>
      <w:rFonts w:eastAsiaTheme="minorEastAsia"/>
      <w:lang w:eastAsia="en-IE"/>
    </w:rPr>
    <w:tblPr>
      <w:tblCellMar>
        <w:top w:w="0" w:type="dxa"/>
        <w:left w:w="0" w:type="dxa"/>
        <w:bottom w:w="0" w:type="dxa"/>
        <w:right w:w="0" w:type="dxa"/>
      </w:tblCellMar>
    </w:tblPr>
  </w:style>
  <w:style w:type="paragraph" w:styleId="Header">
    <w:name w:val="header"/>
    <w:basedOn w:val="Normal"/>
    <w:link w:val="HeaderChar"/>
    <w:uiPriority w:val="99"/>
    <w:unhideWhenUsed/>
    <w:rsid w:val="00B10581"/>
    <w:pPr>
      <w:tabs>
        <w:tab w:val="center" w:pos="4513"/>
        <w:tab w:val="right" w:pos="9026"/>
      </w:tabs>
      <w:spacing w:line="240" w:lineRule="auto"/>
    </w:pPr>
  </w:style>
  <w:style w:type="character" w:customStyle="1" w:styleId="HeaderChar">
    <w:name w:val="Header Char"/>
    <w:basedOn w:val="DefaultParagraphFont"/>
    <w:link w:val="Header"/>
    <w:uiPriority w:val="99"/>
    <w:rsid w:val="00B10581"/>
    <w:rPr>
      <w:rFonts w:ascii="Calibri" w:eastAsia="Calibri" w:hAnsi="Calibri" w:cs="Calibri"/>
      <w:color w:val="000000"/>
      <w:sz w:val="24"/>
      <w:lang w:eastAsia="en-IE"/>
    </w:rPr>
  </w:style>
  <w:style w:type="paragraph" w:styleId="Footer">
    <w:name w:val="footer"/>
    <w:basedOn w:val="Normal"/>
    <w:link w:val="FooterChar"/>
    <w:uiPriority w:val="99"/>
    <w:unhideWhenUsed/>
    <w:rsid w:val="00B10581"/>
    <w:pPr>
      <w:tabs>
        <w:tab w:val="center" w:pos="4513"/>
        <w:tab w:val="right" w:pos="9026"/>
      </w:tabs>
      <w:spacing w:line="240" w:lineRule="auto"/>
    </w:pPr>
  </w:style>
  <w:style w:type="character" w:customStyle="1" w:styleId="FooterChar">
    <w:name w:val="Footer Char"/>
    <w:basedOn w:val="DefaultParagraphFont"/>
    <w:link w:val="Footer"/>
    <w:uiPriority w:val="99"/>
    <w:rsid w:val="00B10581"/>
    <w:rPr>
      <w:rFonts w:ascii="Calibri" w:eastAsia="Calibri" w:hAnsi="Calibri" w:cs="Calibri"/>
      <w:color w:val="000000"/>
      <w:sz w:val="24"/>
      <w:lang w:eastAsia="en-IE"/>
    </w:rPr>
  </w:style>
  <w:style w:type="character" w:styleId="Hyperlink">
    <w:name w:val="Hyperlink"/>
    <w:basedOn w:val="DefaultParagraphFont"/>
    <w:uiPriority w:val="99"/>
    <w:unhideWhenUsed/>
    <w:rsid w:val="006C5384"/>
    <w:rPr>
      <w:color w:val="0563C1" w:themeColor="hyperlink"/>
      <w:u w:val="single"/>
    </w:rPr>
  </w:style>
  <w:style w:type="character" w:styleId="UnresolvedMention">
    <w:name w:val="Unresolved Mention"/>
    <w:basedOn w:val="DefaultParagraphFont"/>
    <w:uiPriority w:val="99"/>
    <w:semiHidden/>
    <w:unhideWhenUsed/>
    <w:rsid w:val="006C53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73B035-6E29-4DF5-AD1C-70F41712BF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924</Words>
  <Characters>5272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Dublin City University</Company>
  <LinksUpToDate>false</LinksUpToDate>
  <CharactersWithSpaces>6184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Butler</dc:creator>
  <cp:keywords/>
  <dc:description/>
  <cp:lastModifiedBy>Jennifer Butler</cp:lastModifiedBy>
  <cp:revision>6</cp:revision>
  <cp:lastPrinted>2024-02-20T10:46:00Z</cp:lastPrinted>
  <dcterms:created xsi:type="dcterms:W3CDTF">2024-09-12T15:54:00Z</dcterms:created>
  <dcterms:modified xsi:type="dcterms:W3CDTF">2025-02-11T16:00:00Z</dcterms:modified>
</cp:coreProperties>
</file>